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65" w:type="dxa"/>
        <w:tblLayout w:type="fixed"/>
        <w:tblCellMar>
          <w:left w:w="0" w:type="dxa"/>
          <w:right w:w="0" w:type="dxa"/>
        </w:tblCellMar>
        <w:tblLook w:val="01E0" w:firstRow="1" w:lastRow="1" w:firstColumn="1" w:lastColumn="1" w:noHBand="0" w:noVBand="0"/>
      </w:tblPr>
      <w:tblGrid>
        <w:gridCol w:w="1301"/>
        <w:gridCol w:w="784"/>
        <w:gridCol w:w="8725"/>
      </w:tblGrid>
      <w:tr w:rsidR="00F1690F" w:rsidRPr="00F1690F" w:rsidTr="00113F18">
        <w:trPr>
          <w:trHeight w:val="447"/>
        </w:trPr>
        <w:tc>
          <w:tcPr>
            <w:tcW w:w="2085" w:type="dxa"/>
            <w:gridSpan w:val="2"/>
            <w:vMerge w:val="restart"/>
          </w:tcPr>
          <w:p w:rsidR="003B292C" w:rsidRPr="00F1690F" w:rsidRDefault="003B292C" w:rsidP="00113F18">
            <w:pPr>
              <w:pStyle w:val="TableParagraph"/>
              <w:spacing w:before="0"/>
              <w:rPr>
                <w:rFonts w:ascii="Times New Roman" w:hAnsi="Times New Roman" w:cs="Times New Roman"/>
                <w:sz w:val="20"/>
                <w:szCs w:val="20"/>
              </w:rPr>
            </w:pPr>
          </w:p>
          <w:p w:rsidR="003B292C" w:rsidRPr="00F1690F" w:rsidRDefault="003B292C" w:rsidP="00113F18">
            <w:pPr>
              <w:pStyle w:val="TableParagraph"/>
              <w:spacing w:before="0"/>
              <w:rPr>
                <w:rFonts w:ascii="Times New Roman" w:hAnsi="Times New Roman" w:cs="Times New Roman"/>
                <w:sz w:val="20"/>
                <w:szCs w:val="20"/>
              </w:rPr>
            </w:pPr>
          </w:p>
          <w:p w:rsidR="003B292C" w:rsidRPr="00F1690F" w:rsidRDefault="003B292C" w:rsidP="00113F18">
            <w:pPr>
              <w:pStyle w:val="TableParagraph"/>
              <w:spacing w:before="0"/>
              <w:rPr>
                <w:rFonts w:ascii="Times New Roman" w:hAnsi="Times New Roman" w:cs="Times New Roman"/>
                <w:sz w:val="20"/>
                <w:szCs w:val="20"/>
              </w:rPr>
            </w:pPr>
            <w:r w:rsidRPr="00F1690F">
              <w:rPr>
                <w:rFonts w:ascii="Times New Roman" w:hAnsi="Times New Roman" w:cs="Times New Roman"/>
                <w:sz w:val="20"/>
                <w:szCs w:val="20"/>
              </w:rPr>
              <w:t>Hardy Murphy, Ph.D.</w:t>
            </w:r>
          </w:p>
          <w:p w:rsidR="003B292C" w:rsidRPr="00F1690F" w:rsidRDefault="003B292C" w:rsidP="00113F18">
            <w:pPr>
              <w:pStyle w:val="TableParagraph"/>
              <w:spacing w:before="0"/>
              <w:rPr>
                <w:rFonts w:ascii="Times New Roman" w:hAnsi="Times New Roman" w:cs="Times New Roman"/>
                <w:sz w:val="20"/>
                <w:szCs w:val="20"/>
              </w:rPr>
            </w:pPr>
            <w:r w:rsidRPr="00F1690F">
              <w:rPr>
                <w:rFonts w:ascii="Times New Roman" w:hAnsi="Times New Roman" w:cs="Times New Roman"/>
                <w:sz w:val="20"/>
                <w:szCs w:val="20"/>
              </w:rPr>
              <w:t>1420 Ridge Avenue, Evanston, Illinois, 60201</w:t>
            </w:r>
          </w:p>
          <w:p w:rsidR="003B292C" w:rsidRPr="00F1690F" w:rsidRDefault="003B292C" w:rsidP="00113F18">
            <w:pPr>
              <w:pStyle w:val="TableParagraph"/>
              <w:spacing w:before="0"/>
              <w:rPr>
                <w:rFonts w:ascii="Times New Roman" w:hAnsi="Times New Roman" w:cs="Times New Roman"/>
                <w:sz w:val="20"/>
                <w:szCs w:val="20"/>
              </w:rPr>
            </w:pPr>
            <w:r w:rsidRPr="00F1690F">
              <w:rPr>
                <w:rFonts w:ascii="Times New Roman" w:hAnsi="Times New Roman" w:cs="Times New Roman"/>
                <w:sz w:val="20"/>
                <w:szCs w:val="20"/>
              </w:rPr>
              <w:t>hamurphy@indian.edu</w:t>
            </w:r>
          </w:p>
        </w:tc>
        <w:tc>
          <w:tcPr>
            <w:tcW w:w="8725" w:type="dxa"/>
          </w:tcPr>
          <w:p w:rsidR="003B292C" w:rsidRPr="00F1690F" w:rsidRDefault="003B292C" w:rsidP="00113F18">
            <w:pPr>
              <w:pStyle w:val="TableParagraph"/>
              <w:spacing w:before="5"/>
              <w:ind w:right="51"/>
              <w:rPr>
                <w:rFonts w:ascii="Times New Roman" w:hAnsi="Times New Roman" w:cs="Times New Roman"/>
                <w:sz w:val="20"/>
                <w:szCs w:val="20"/>
              </w:rPr>
            </w:pPr>
          </w:p>
        </w:tc>
      </w:tr>
      <w:tr w:rsidR="00F1690F" w:rsidRPr="00F1690F" w:rsidTr="00113F18">
        <w:trPr>
          <w:trHeight w:val="626"/>
        </w:trPr>
        <w:tc>
          <w:tcPr>
            <w:tcW w:w="2085" w:type="dxa"/>
            <w:gridSpan w:val="2"/>
            <w:vMerge/>
            <w:tcBorders>
              <w:top w:val="nil"/>
            </w:tcBorders>
          </w:tcPr>
          <w:p w:rsidR="003B292C" w:rsidRPr="00F1690F" w:rsidRDefault="003B292C" w:rsidP="00113F18">
            <w:pPr>
              <w:rPr>
                <w:sz w:val="20"/>
                <w:szCs w:val="20"/>
              </w:rPr>
            </w:pPr>
          </w:p>
        </w:tc>
        <w:tc>
          <w:tcPr>
            <w:tcW w:w="8725" w:type="dxa"/>
          </w:tcPr>
          <w:p w:rsidR="003B292C" w:rsidRPr="00F1690F" w:rsidRDefault="003B292C" w:rsidP="00113F18">
            <w:pPr>
              <w:pStyle w:val="TableParagraph"/>
              <w:spacing w:before="65"/>
              <w:rPr>
                <w:rFonts w:ascii="Times New Roman" w:hAnsi="Times New Roman" w:cs="Times New Roman"/>
                <w:sz w:val="20"/>
                <w:szCs w:val="20"/>
              </w:rPr>
            </w:pPr>
            <w:r w:rsidRPr="00F1690F">
              <w:rPr>
                <w:rFonts w:ascii="Times New Roman" w:hAnsi="Times New Roman" w:cs="Times New Roman"/>
                <w:sz w:val="20"/>
                <w:szCs w:val="20"/>
              </w:rPr>
              <w:t xml:space="preserve">                                                                                                                                </w:t>
            </w:r>
          </w:p>
        </w:tc>
      </w:tr>
      <w:tr w:rsidR="00F1690F" w:rsidRPr="00F1690F" w:rsidTr="00113F18">
        <w:trPr>
          <w:trHeight w:val="434"/>
        </w:trPr>
        <w:tc>
          <w:tcPr>
            <w:tcW w:w="1301" w:type="dxa"/>
          </w:tcPr>
          <w:p w:rsidR="003B292C" w:rsidRPr="00F1690F" w:rsidRDefault="003B292C" w:rsidP="00113F18">
            <w:pPr>
              <w:pStyle w:val="TableParagraph"/>
              <w:spacing w:before="120"/>
              <w:rPr>
                <w:rFonts w:ascii="Times New Roman" w:hAnsi="Times New Roman" w:cs="Times New Roman"/>
                <w:b/>
                <w:sz w:val="20"/>
                <w:szCs w:val="20"/>
              </w:rPr>
            </w:pPr>
          </w:p>
          <w:p w:rsidR="003B292C" w:rsidRPr="00F1690F" w:rsidRDefault="003B292C" w:rsidP="00113F18">
            <w:pPr>
              <w:pStyle w:val="TableParagraph"/>
              <w:spacing w:before="120"/>
              <w:rPr>
                <w:rFonts w:ascii="Times New Roman" w:hAnsi="Times New Roman" w:cs="Times New Roman"/>
                <w:b/>
                <w:sz w:val="20"/>
                <w:szCs w:val="20"/>
              </w:rPr>
            </w:pPr>
            <w:r w:rsidRPr="00F1690F">
              <w:rPr>
                <w:rFonts w:ascii="Times New Roman" w:hAnsi="Times New Roman" w:cs="Times New Roman"/>
                <w:b/>
                <w:sz w:val="20"/>
                <w:szCs w:val="20"/>
              </w:rPr>
              <w:t>Education</w:t>
            </w:r>
          </w:p>
        </w:tc>
        <w:tc>
          <w:tcPr>
            <w:tcW w:w="784" w:type="dxa"/>
          </w:tcPr>
          <w:p w:rsidR="003B292C" w:rsidRPr="00F1690F" w:rsidRDefault="003B292C" w:rsidP="00113F18">
            <w:pPr>
              <w:pStyle w:val="TableParagraph"/>
              <w:spacing w:before="0"/>
              <w:rPr>
                <w:rFonts w:ascii="Times New Roman" w:hAnsi="Times New Roman" w:cs="Times New Roman"/>
                <w:sz w:val="20"/>
                <w:szCs w:val="20"/>
              </w:rPr>
            </w:pPr>
          </w:p>
        </w:tc>
        <w:tc>
          <w:tcPr>
            <w:tcW w:w="8725" w:type="dxa"/>
          </w:tcPr>
          <w:p w:rsidR="003B292C" w:rsidRPr="00F1690F" w:rsidRDefault="003B292C" w:rsidP="00113F18">
            <w:pPr>
              <w:pStyle w:val="TableParagraph"/>
              <w:spacing w:before="0"/>
              <w:rPr>
                <w:rFonts w:ascii="Times New Roman" w:hAnsi="Times New Roman" w:cs="Times New Roman"/>
                <w:sz w:val="20"/>
                <w:szCs w:val="20"/>
              </w:rPr>
            </w:pPr>
          </w:p>
        </w:tc>
      </w:tr>
      <w:tr w:rsidR="00F1690F" w:rsidRPr="00F1690F" w:rsidTr="00113F18">
        <w:trPr>
          <w:trHeight w:val="309"/>
        </w:trPr>
        <w:tc>
          <w:tcPr>
            <w:tcW w:w="1301" w:type="dxa"/>
          </w:tcPr>
          <w:p w:rsidR="003B292C" w:rsidRPr="00F1690F" w:rsidRDefault="003B292C" w:rsidP="00113F18">
            <w:pPr>
              <w:pStyle w:val="TableParagraph"/>
              <w:spacing w:before="22" w:line="268" w:lineRule="exact"/>
              <w:ind w:right="143"/>
              <w:rPr>
                <w:rFonts w:ascii="Times New Roman" w:hAnsi="Times New Roman" w:cs="Times New Roman"/>
                <w:sz w:val="20"/>
                <w:szCs w:val="20"/>
              </w:rPr>
            </w:pPr>
            <w:r w:rsidRPr="00F1690F">
              <w:rPr>
                <w:rFonts w:ascii="Times New Roman" w:hAnsi="Times New Roman" w:cs="Times New Roman"/>
                <w:sz w:val="20"/>
                <w:szCs w:val="20"/>
              </w:rPr>
              <w:t>Ph.D.</w:t>
            </w:r>
          </w:p>
        </w:tc>
        <w:tc>
          <w:tcPr>
            <w:tcW w:w="784" w:type="dxa"/>
          </w:tcPr>
          <w:p w:rsidR="003B292C" w:rsidRPr="00F1690F" w:rsidRDefault="003B292C" w:rsidP="00113F18">
            <w:pPr>
              <w:pStyle w:val="TableParagraph"/>
              <w:spacing w:before="22" w:line="268" w:lineRule="exact"/>
              <w:ind w:left="80" w:right="114"/>
              <w:rPr>
                <w:rFonts w:ascii="Times New Roman" w:hAnsi="Times New Roman" w:cs="Times New Roman"/>
                <w:sz w:val="20"/>
                <w:szCs w:val="20"/>
              </w:rPr>
            </w:pPr>
            <w:r w:rsidRPr="00F1690F">
              <w:rPr>
                <w:rFonts w:ascii="Times New Roman" w:hAnsi="Times New Roman" w:cs="Times New Roman"/>
                <w:sz w:val="20"/>
                <w:szCs w:val="20"/>
              </w:rPr>
              <w:t>1979</w:t>
            </w:r>
          </w:p>
        </w:tc>
        <w:tc>
          <w:tcPr>
            <w:tcW w:w="8725" w:type="dxa"/>
          </w:tcPr>
          <w:p w:rsidR="003B292C" w:rsidRPr="00F1690F" w:rsidRDefault="003B292C" w:rsidP="00113F18">
            <w:pPr>
              <w:pStyle w:val="TableParagraph"/>
              <w:spacing w:before="22" w:line="268" w:lineRule="exact"/>
              <w:ind w:left="137"/>
              <w:rPr>
                <w:rFonts w:ascii="Times New Roman" w:hAnsi="Times New Roman" w:cs="Times New Roman"/>
                <w:sz w:val="20"/>
                <w:szCs w:val="20"/>
              </w:rPr>
            </w:pPr>
            <w:r w:rsidRPr="00F1690F">
              <w:rPr>
                <w:rFonts w:ascii="Times New Roman" w:hAnsi="Times New Roman" w:cs="Times New Roman"/>
                <w:sz w:val="20"/>
                <w:szCs w:val="20"/>
              </w:rPr>
              <w:t>The University of Texas at Austin, Austin, TX (Educational Psychology)</w:t>
            </w:r>
          </w:p>
        </w:tc>
      </w:tr>
      <w:tr w:rsidR="00F1690F" w:rsidRPr="00F1690F" w:rsidTr="00113F18">
        <w:trPr>
          <w:trHeight w:val="309"/>
        </w:trPr>
        <w:tc>
          <w:tcPr>
            <w:tcW w:w="1301" w:type="dxa"/>
          </w:tcPr>
          <w:p w:rsidR="003B292C" w:rsidRPr="00F1690F" w:rsidRDefault="003B292C" w:rsidP="00113F18">
            <w:pPr>
              <w:pStyle w:val="TableParagraph"/>
              <w:ind w:right="96"/>
              <w:rPr>
                <w:rFonts w:ascii="Times New Roman" w:hAnsi="Times New Roman" w:cs="Times New Roman"/>
                <w:sz w:val="20"/>
                <w:szCs w:val="20"/>
              </w:rPr>
            </w:pPr>
            <w:r w:rsidRPr="00F1690F">
              <w:rPr>
                <w:rFonts w:ascii="Times New Roman" w:hAnsi="Times New Roman" w:cs="Times New Roman"/>
                <w:sz w:val="20"/>
                <w:szCs w:val="20"/>
              </w:rPr>
              <w:t>M.Ed.</w:t>
            </w:r>
          </w:p>
        </w:tc>
        <w:tc>
          <w:tcPr>
            <w:tcW w:w="784" w:type="dxa"/>
          </w:tcPr>
          <w:p w:rsidR="003B292C" w:rsidRPr="00F1690F" w:rsidRDefault="003B292C" w:rsidP="00113F18">
            <w:pPr>
              <w:pStyle w:val="TableParagraph"/>
              <w:ind w:left="80" w:right="114"/>
              <w:rPr>
                <w:rFonts w:ascii="Times New Roman" w:hAnsi="Times New Roman" w:cs="Times New Roman"/>
                <w:sz w:val="20"/>
                <w:szCs w:val="20"/>
              </w:rPr>
            </w:pPr>
            <w:r w:rsidRPr="00F1690F">
              <w:rPr>
                <w:rFonts w:ascii="Times New Roman" w:hAnsi="Times New Roman" w:cs="Times New Roman"/>
                <w:sz w:val="20"/>
                <w:szCs w:val="20"/>
              </w:rPr>
              <w:t>1975</w:t>
            </w:r>
          </w:p>
        </w:tc>
        <w:tc>
          <w:tcPr>
            <w:tcW w:w="8725" w:type="dxa"/>
          </w:tcPr>
          <w:p w:rsidR="003B292C" w:rsidRPr="00F1690F" w:rsidRDefault="003B292C" w:rsidP="00113F18">
            <w:pPr>
              <w:pStyle w:val="TableParagraph"/>
              <w:ind w:left="137"/>
              <w:rPr>
                <w:rFonts w:ascii="Times New Roman" w:hAnsi="Times New Roman" w:cs="Times New Roman"/>
                <w:sz w:val="20"/>
                <w:szCs w:val="20"/>
              </w:rPr>
            </w:pPr>
            <w:r w:rsidRPr="00F1690F">
              <w:rPr>
                <w:rFonts w:ascii="Times New Roman" w:hAnsi="Times New Roman" w:cs="Times New Roman"/>
                <w:sz w:val="20"/>
                <w:szCs w:val="20"/>
              </w:rPr>
              <w:t>Southwest Texas State University, San Marcos, TX (Education – Special Education –</w:t>
            </w:r>
          </w:p>
        </w:tc>
      </w:tr>
      <w:tr w:rsidR="00F1690F" w:rsidRPr="00F1690F" w:rsidTr="00113F18">
        <w:trPr>
          <w:trHeight w:val="309"/>
        </w:trPr>
        <w:tc>
          <w:tcPr>
            <w:tcW w:w="1301" w:type="dxa"/>
          </w:tcPr>
          <w:p w:rsidR="003B292C" w:rsidRPr="00F1690F" w:rsidRDefault="003B292C" w:rsidP="00113F18">
            <w:pPr>
              <w:pStyle w:val="TableParagraph"/>
              <w:spacing w:before="0"/>
              <w:rPr>
                <w:rFonts w:ascii="Times New Roman" w:hAnsi="Times New Roman" w:cs="Times New Roman"/>
                <w:sz w:val="20"/>
                <w:szCs w:val="20"/>
              </w:rPr>
            </w:pPr>
          </w:p>
        </w:tc>
        <w:tc>
          <w:tcPr>
            <w:tcW w:w="784" w:type="dxa"/>
          </w:tcPr>
          <w:p w:rsidR="003B292C" w:rsidRPr="00F1690F" w:rsidRDefault="003B292C" w:rsidP="00113F18">
            <w:pPr>
              <w:pStyle w:val="TableParagraph"/>
              <w:spacing w:before="0"/>
              <w:rPr>
                <w:rFonts w:ascii="Times New Roman" w:hAnsi="Times New Roman" w:cs="Times New Roman"/>
                <w:sz w:val="20"/>
                <w:szCs w:val="20"/>
              </w:rPr>
            </w:pPr>
          </w:p>
        </w:tc>
        <w:tc>
          <w:tcPr>
            <w:tcW w:w="8725" w:type="dxa"/>
          </w:tcPr>
          <w:p w:rsidR="003B292C" w:rsidRPr="00F1690F" w:rsidRDefault="003B292C" w:rsidP="00113F18">
            <w:pPr>
              <w:pStyle w:val="TableParagraph"/>
              <w:spacing w:before="22" w:line="268" w:lineRule="exact"/>
              <w:ind w:left="137"/>
              <w:rPr>
                <w:rFonts w:ascii="Times New Roman" w:hAnsi="Times New Roman" w:cs="Times New Roman"/>
                <w:sz w:val="20"/>
                <w:szCs w:val="20"/>
              </w:rPr>
            </w:pPr>
            <w:r w:rsidRPr="00F1690F">
              <w:rPr>
                <w:rFonts w:ascii="Times New Roman" w:hAnsi="Times New Roman" w:cs="Times New Roman"/>
                <w:sz w:val="20"/>
                <w:szCs w:val="20"/>
              </w:rPr>
              <w:t>School Psychology)</w:t>
            </w:r>
          </w:p>
        </w:tc>
      </w:tr>
      <w:tr w:rsidR="00F1690F" w:rsidRPr="00F1690F" w:rsidTr="00113F18">
        <w:trPr>
          <w:trHeight w:val="307"/>
        </w:trPr>
        <w:tc>
          <w:tcPr>
            <w:tcW w:w="1301" w:type="dxa"/>
          </w:tcPr>
          <w:p w:rsidR="003B292C" w:rsidRPr="00F1690F" w:rsidRDefault="003B292C" w:rsidP="00113F18">
            <w:pPr>
              <w:pStyle w:val="TableParagraph"/>
              <w:spacing w:line="268" w:lineRule="exact"/>
              <w:rPr>
                <w:rFonts w:ascii="Times New Roman" w:hAnsi="Times New Roman" w:cs="Times New Roman"/>
                <w:sz w:val="20"/>
                <w:szCs w:val="20"/>
              </w:rPr>
            </w:pPr>
            <w:r w:rsidRPr="00F1690F">
              <w:rPr>
                <w:rFonts w:ascii="Times New Roman" w:hAnsi="Times New Roman" w:cs="Times New Roman"/>
                <w:sz w:val="20"/>
                <w:szCs w:val="20"/>
              </w:rPr>
              <w:t>FB.A.</w:t>
            </w:r>
          </w:p>
        </w:tc>
        <w:tc>
          <w:tcPr>
            <w:tcW w:w="784" w:type="dxa"/>
          </w:tcPr>
          <w:p w:rsidR="003B292C" w:rsidRPr="00F1690F" w:rsidRDefault="003B292C" w:rsidP="00113F18">
            <w:pPr>
              <w:pStyle w:val="TableParagraph"/>
              <w:spacing w:line="268" w:lineRule="exact"/>
              <w:ind w:left="80" w:right="114"/>
              <w:rPr>
                <w:rFonts w:ascii="Times New Roman" w:hAnsi="Times New Roman" w:cs="Times New Roman"/>
                <w:sz w:val="20"/>
                <w:szCs w:val="20"/>
              </w:rPr>
            </w:pPr>
            <w:r w:rsidRPr="00F1690F">
              <w:rPr>
                <w:rFonts w:ascii="Times New Roman" w:hAnsi="Times New Roman" w:cs="Times New Roman"/>
                <w:sz w:val="20"/>
                <w:szCs w:val="20"/>
              </w:rPr>
              <w:t>1971</w:t>
            </w:r>
          </w:p>
        </w:tc>
        <w:tc>
          <w:tcPr>
            <w:tcW w:w="8725" w:type="dxa"/>
          </w:tcPr>
          <w:p w:rsidR="003B292C" w:rsidRPr="00F1690F" w:rsidRDefault="003B292C" w:rsidP="00113F18">
            <w:pPr>
              <w:pStyle w:val="TableParagraph"/>
              <w:spacing w:line="268" w:lineRule="exact"/>
              <w:ind w:left="137"/>
              <w:rPr>
                <w:rFonts w:ascii="Times New Roman" w:hAnsi="Times New Roman" w:cs="Times New Roman"/>
                <w:sz w:val="20"/>
                <w:szCs w:val="20"/>
              </w:rPr>
            </w:pPr>
            <w:r w:rsidRPr="00F1690F">
              <w:rPr>
                <w:rFonts w:ascii="Times New Roman" w:hAnsi="Times New Roman" w:cs="Times New Roman"/>
                <w:sz w:val="20"/>
                <w:szCs w:val="20"/>
              </w:rPr>
              <w:t>New Mexico State University, Las Cruces, NM (Sociology)</w:t>
            </w:r>
          </w:p>
        </w:tc>
      </w:tr>
      <w:tr w:rsidR="00F1690F" w:rsidRPr="00F1690F" w:rsidTr="00113F18">
        <w:trPr>
          <w:trHeight w:val="288"/>
        </w:trPr>
        <w:tc>
          <w:tcPr>
            <w:tcW w:w="1301" w:type="dxa"/>
          </w:tcPr>
          <w:p w:rsidR="003B292C" w:rsidRPr="00F1690F" w:rsidRDefault="003B292C" w:rsidP="00113F18">
            <w:pPr>
              <w:pStyle w:val="TableParagraph"/>
              <w:spacing w:before="0"/>
              <w:rPr>
                <w:rFonts w:ascii="Times New Roman" w:hAnsi="Times New Roman" w:cs="Times New Roman"/>
                <w:sz w:val="20"/>
                <w:szCs w:val="20"/>
              </w:rPr>
            </w:pPr>
          </w:p>
        </w:tc>
        <w:tc>
          <w:tcPr>
            <w:tcW w:w="784" w:type="dxa"/>
          </w:tcPr>
          <w:p w:rsidR="003B292C" w:rsidRPr="00F1690F" w:rsidRDefault="003B292C" w:rsidP="00113F18">
            <w:pPr>
              <w:pStyle w:val="TableParagraph"/>
              <w:spacing w:line="249" w:lineRule="exact"/>
              <w:ind w:left="80" w:right="114"/>
              <w:rPr>
                <w:rFonts w:ascii="Times New Roman" w:hAnsi="Times New Roman" w:cs="Times New Roman"/>
                <w:sz w:val="20"/>
                <w:szCs w:val="20"/>
              </w:rPr>
            </w:pPr>
            <w:r w:rsidRPr="00F1690F">
              <w:rPr>
                <w:rFonts w:ascii="Times New Roman" w:hAnsi="Times New Roman" w:cs="Times New Roman"/>
                <w:sz w:val="20"/>
                <w:szCs w:val="20"/>
              </w:rPr>
              <w:t>2000</w:t>
            </w:r>
          </w:p>
        </w:tc>
        <w:tc>
          <w:tcPr>
            <w:tcW w:w="8725" w:type="dxa"/>
          </w:tcPr>
          <w:p w:rsidR="003B292C" w:rsidRPr="00F1690F" w:rsidRDefault="003B292C" w:rsidP="00113F18">
            <w:pPr>
              <w:pStyle w:val="TableParagraph"/>
              <w:spacing w:line="249" w:lineRule="exact"/>
              <w:ind w:left="137"/>
              <w:rPr>
                <w:rFonts w:ascii="Times New Roman" w:hAnsi="Times New Roman" w:cs="Times New Roman"/>
                <w:sz w:val="20"/>
                <w:szCs w:val="20"/>
              </w:rPr>
            </w:pPr>
            <w:r w:rsidRPr="00F1690F">
              <w:rPr>
                <w:rFonts w:ascii="Times New Roman" w:hAnsi="Times New Roman" w:cs="Times New Roman"/>
                <w:sz w:val="20"/>
                <w:szCs w:val="20"/>
              </w:rPr>
              <w:t>Loyola University (Superintendent’s Certificate)</w:t>
            </w:r>
          </w:p>
        </w:tc>
      </w:tr>
    </w:tbl>
    <w:p w:rsidR="003B292C" w:rsidRPr="00F1690F" w:rsidRDefault="003B292C" w:rsidP="003B292C">
      <w:pPr>
        <w:pStyle w:val="Heading1"/>
        <w:spacing w:before="53"/>
        <w:rPr>
          <w:rFonts w:ascii="Times New Roman" w:hAnsi="Times New Roman" w:cs="Times New Roman"/>
          <w:sz w:val="20"/>
          <w:szCs w:val="20"/>
        </w:rPr>
      </w:pPr>
      <w:r w:rsidRPr="00F1690F">
        <w:rPr>
          <w:rFonts w:ascii="Times New Roman" w:hAnsi="Times New Roman" w:cs="Times New Roman"/>
          <w:sz w:val="20"/>
          <w:szCs w:val="20"/>
        </w:rPr>
        <w:t>Experience</w:t>
      </w:r>
    </w:p>
    <w:p w:rsidR="003B292C" w:rsidRPr="00F1690F" w:rsidRDefault="003B292C" w:rsidP="003B292C">
      <w:pPr>
        <w:pStyle w:val="BodyText"/>
        <w:tabs>
          <w:tab w:val="left" w:pos="2277"/>
        </w:tabs>
        <w:spacing w:before="43"/>
        <w:ind w:left="837"/>
        <w:rPr>
          <w:rFonts w:ascii="Times New Roman" w:hAnsi="Times New Roman" w:cs="Times New Roman"/>
          <w:sz w:val="20"/>
          <w:szCs w:val="20"/>
        </w:rPr>
      </w:pPr>
      <w:r w:rsidRPr="00F1690F">
        <w:rPr>
          <w:rFonts w:ascii="Times New Roman" w:hAnsi="Times New Roman" w:cs="Times New Roman"/>
          <w:sz w:val="20"/>
          <w:szCs w:val="20"/>
        </w:rPr>
        <w:t>2020- present    Lecturer Indiana Department of Education Aspiring Leaders Institute</w:t>
      </w:r>
    </w:p>
    <w:p w:rsidR="003B292C" w:rsidRPr="00F1690F" w:rsidRDefault="003B292C" w:rsidP="003B292C">
      <w:pPr>
        <w:pStyle w:val="BodyText"/>
        <w:tabs>
          <w:tab w:val="left" w:pos="2277"/>
        </w:tabs>
        <w:spacing w:before="43"/>
        <w:ind w:left="837"/>
        <w:rPr>
          <w:rFonts w:ascii="Times New Roman" w:hAnsi="Times New Roman" w:cs="Times New Roman"/>
          <w:sz w:val="20"/>
          <w:szCs w:val="20"/>
        </w:rPr>
      </w:pPr>
      <w:r w:rsidRPr="00F1690F">
        <w:rPr>
          <w:rFonts w:ascii="Times New Roman" w:hAnsi="Times New Roman" w:cs="Times New Roman"/>
          <w:sz w:val="20"/>
          <w:szCs w:val="20"/>
        </w:rPr>
        <w:t>2015- present</w:t>
      </w:r>
      <w:r w:rsidRPr="00F1690F">
        <w:rPr>
          <w:rFonts w:ascii="Times New Roman" w:hAnsi="Times New Roman" w:cs="Times New Roman"/>
          <w:sz w:val="20"/>
          <w:szCs w:val="20"/>
        </w:rPr>
        <w:tab/>
        <w:t>Clinical Faculty, IUPUI, Education</w:t>
      </w:r>
      <w:r w:rsidRPr="00F1690F">
        <w:rPr>
          <w:rFonts w:ascii="Times New Roman" w:hAnsi="Times New Roman" w:cs="Times New Roman"/>
          <w:spacing w:val="-5"/>
          <w:sz w:val="20"/>
          <w:szCs w:val="20"/>
        </w:rPr>
        <w:t xml:space="preserve"> </w:t>
      </w:r>
      <w:r w:rsidRPr="00F1690F">
        <w:rPr>
          <w:rFonts w:ascii="Times New Roman" w:hAnsi="Times New Roman" w:cs="Times New Roman"/>
          <w:sz w:val="20"/>
          <w:szCs w:val="20"/>
        </w:rPr>
        <w:t>Leadership</w:t>
      </w:r>
    </w:p>
    <w:p w:rsidR="003B292C" w:rsidRPr="00F1690F" w:rsidRDefault="003B292C" w:rsidP="003B292C">
      <w:pPr>
        <w:pStyle w:val="BodyText"/>
        <w:tabs>
          <w:tab w:val="left" w:pos="2277"/>
        </w:tabs>
        <w:spacing w:before="38" w:line="276" w:lineRule="auto"/>
        <w:ind w:left="837" w:right="3314"/>
        <w:rPr>
          <w:rFonts w:ascii="Times New Roman" w:hAnsi="Times New Roman" w:cs="Times New Roman"/>
          <w:sz w:val="20"/>
          <w:szCs w:val="20"/>
        </w:rPr>
      </w:pPr>
      <w:r w:rsidRPr="00F1690F">
        <w:rPr>
          <w:rFonts w:ascii="Times New Roman" w:hAnsi="Times New Roman" w:cs="Times New Roman"/>
          <w:sz w:val="20"/>
          <w:szCs w:val="20"/>
        </w:rPr>
        <w:t>2013- present</w:t>
      </w:r>
      <w:r w:rsidRPr="00F1690F">
        <w:rPr>
          <w:rFonts w:ascii="Times New Roman" w:hAnsi="Times New Roman" w:cs="Times New Roman"/>
          <w:sz w:val="20"/>
          <w:szCs w:val="20"/>
        </w:rPr>
        <w:tab/>
        <w:t>Co- Director, INTASS project, Indiana University, Bloomington 2013- present</w:t>
      </w:r>
      <w:r w:rsidRPr="00F1690F">
        <w:rPr>
          <w:rFonts w:ascii="Times New Roman" w:hAnsi="Times New Roman" w:cs="Times New Roman"/>
          <w:sz w:val="20"/>
          <w:szCs w:val="20"/>
        </w:rPr>
        <w:tab/>
        <w:t>Research Scholar, Indiana University, Bloomington/IUPUI 2015- 2018</w:t>
      </w:r>
      <w:r w:rsidRPr="00F1690F">
        <w:rPr>
          <w:rFonts w:ascii="Times New Roman" w:hAnsi="Times New Roman" w:cs="Times New Roman"/>
          <w:sz w:val="20"/>
          <w:szCs w:val="20"/>
        </w:rPr>
        <w:tab/>
        <w:t>Executive Director, Indiana Urban Schools</w:t>
      </w:r>
      <w:r w:rsidRPr="00F1690F">
        <w:rPr>
          <w:rFonts w:ascii="Times New Roman" w:hAnsi="Times New Roman" w:cs="Times New Roman"/>
          <w:spacing w:val="-12"/>
          <w:sz w:val="20"/>
          <w:szCs w:val="20"/>
        </w:rPr>
        <w:t xml:space="preserve"> </w:t>
      </w:r>
      <w:r w:rsidRPr="00F1690F">
        <w:rPr>
          <w:rFonts w:ascii="Times New Roman" w:hAnsi="Times New Roman" w:cs="Times New Roman"/>
          <w:sz w:val="20"/>
          <w:szCs w:val="20"/>
        </w:rPr>
        <w:t>Association</w:t>
      </w:r>
    </w:p>
    <w:p w:rsidR="003B292C" w:rsidRPr="00F1690F" w:rsidRDefault="003B292C" w:rsidP="003B292C">
      <w:pPr>
        <w:pStyle w:val="BodyText"/>
        <w:tabs>
          <w:tab w:val="left" w:pos="2277"/>
        </w:tabs>
        <w:spacing w:line="278" w:lineRule="auto"/>
        <w:ind w:left="837" w:right="1792"/>
        <w:rPr>
          <w:rFonts w:ascii="Times New Roman" w:hAnsi="Times New Roman" w:cs="Times New Roman"/>
          <w:sz w:val="20"/>
          <w:szCs w:val="20"/>
        </w:rPr>
      </w:pPr>
      <w:r w:rsidRPr="00F1690F">
        <w:rPr>
          <w:rFonts w:ascii="Times New Roman" w:hAnsi="Times New Roman" w:cs="Times New Roman"/>
          <w:sz w:val="20"/>
          <w:szCs w:val="20"/>
        </w:rPr>
        <w:t>1999- 2013</w:t>
      </w:r>
      <w:r w:rsidRPr="00F1690F">
        <w:rPr>
          <w:rFonts w:ascii="Times New Roman" w:hAnsi="Times New Roman" w:cs="Times New Roman"/>
          <w:sz w:val="20"/>
          <w:szCs w:val="20"/>
        </w:rPr>
        <w:tab/>
        <w:t>Superintendent of Schools, Evanston/Skokie CC School District 65 Evanston, IL 2010- 2013</w:t>
      </w:r>
      <w:r w:rsidRPr="00F1690F">
        <w:rPr>
          <w:rFonts w:ascii="Times New Roman" w:hAnsi="Times New Roman" w:cs="Times New Roman"/>
          <w:sz w:val="20"/>
          <w:szCs w:val="20"/>
        </w:rPr>
        <w:tab/>
        <w:t>Consultant,</w:t>
      </w:r>
      <w:r w:rsidRPr="00F1690F">
        <w:rPr>
          <w:rFonts w:ascii="Times New Roman" w:hAnsi="Times New Roman" w:cs="Times New Roman"/>
          <w:spacing w:val="-5"/>
          <w:sz w:val="20"/>
          <w:szCs w:val="20"/>
        </w:rPr>
        <w:t xml:space="preserve"> </w:t>
      </w:r>
      <w:r w:rsidRPr="00F1690F">
        <w:rPr>
          <w:rFonts w:ascii="Times New Roman" w:hAnsi="Times New Roman" w:cs="Times New Roman"/>
          <w:sz w:val="20"/>
          <w:szCs w:val="20"/>
        </w:rPr>
        <w:t>Indiana</w:t>
      </w:r>
      <w:r w:rsidRPr="00F1690F">
        <w:rPr>
          <w:rFonts w:ascii="Times New Roman" w:hAnsi="Times New Roman" w:cs="Times New Roman"/>
          <w:spacing w:val="-5"/>
          <w:sz w:val="20"/>
          <w:szCs w:val="20"/>
        </w:rPr>
        <w:t xml:space="preserve"> </w:t>
      </w:r>
      <w:r w:rsidRPr="00F1690F">
        <w:rPr>
          <w:rFonts w:ascii="Times New Roman" w:hAnsi="Times New Roman" w:cs="Times New Roman"/>
          <w:sz w:val="20"/>
          <w:szCs w:val="20"/>
        </w:rPr>
        <w:t>Teacher</w:t>
      </w:r>
      <w:r w:rsidRPr="00F1690F">
        <w:rPr>
          <w:rFonts w:ascii="Times New Roman" w:hAnsi="Times New Roman" w:cs="Times New Roman"/>
          <w:spacing w:val="-5"/>
          <w:sz w:val="20"/>
          <w:szCs w:val="20"/>
        </w:rPr>
        <w:t xml:space="preserve"> </w:t>
      </w:r>
      <w:r w:rsidRPr="00F1690F">
        <w:rPr>
          <w:rFonts w:ascii="Times New Roman" w:hAnsi="Times New Roman" w:cs="Times New Roman"/>
          <w:sz w:val="20"/>
          <w:szCs w:val="20"/>
        </w:rPr>
        <w:t>Appraisal</w:t>
      </w:r>
      <w:r w:rsidRPr="00F1690F">
        <w:rPr>
          <w:rFonts w:ascii="Times New Roman" w:hAnsi="Times New Roman" w:cs="Times New Roman"/>
          <w:spacing w:val="-5"/>
          <w:sz w:val="20"/>
          <w:szCs w:val="20"/>
        </w:rPr>
        <w:t xml:space="preserve"> </w:t>
      </w:r>
      <w:r w:rsidRPr="00F1690F">
        <w:rPr>
          <w:rFonts w:ascii="Times New Roman" w:hAnsi="Times New Roman" w:cs="Times New Roman"/>
          <w:sz w:val="20"/>
          <w:szCs w:val="20"/>
        </w:rPr>
        <w:t>and</w:t>
      </w:r>
      <w:r w:rsidRPr="00F1690F">
        <w:rPr>
          <w:rFonts w:ascii="Times New Roman" w:hAnsi="Times New Roman" w:cs="Times New Roman"/>
          <w:spacing w:val="-4"/>
          <w:sz w:val="20"/>
          <w:szCs w:val="20"/>
        </w:rPr>
        <w:t xml:space="preserve"> </w:t>
      </w:r>
      <w:r w:rsidRPr="00F1690F">
        <w:rPr>
          <w:rFonts w:ascii="Times New Roman" w:hAnsi="Times New Roman" w:cs="Times New Roman"/>
          <w:sz w:val="20"/>
          <w:szCs w:val="20"/>
        </w:rPr>
        <w:t>Support</w:t>
      </w:r>
      <w:r w:rsidRPr="00F1690F">
        <w:rPr>
          <w:rFonts w:ascii="Times New Roman" w:hAnsi="Times New Roman" w:cs="Times New Roman"/>
          <w:spacing w:val="-5"/>
          <w:sz w:val="20"/>
          <w:szCs w:val="20"/>
        </w:rPr>
        <w:t xml:space="preserve"> </w:t>
      </w:r>
      <w:r w:rsidRPr="00F1690F">
        <w:rPr>
          <w:rFonts w:ascii="Times New Roman" w:hAnsi="Times New Roman" w:cs="Times New Roman"/>
          <w:sz w:val="20"/>
          <w:szCs w:val="20"/>
        </w:rPr>
        <w:t>System,</w:t>
      </w:r>
      <w:r w:rsidRPr="00F1690F">
        <w:rPr>
          <w:rFonts w:ascii="Times New Roman" w:hAnsi="Times New Roman" w:cs="Times New Roman"/>
          <w:spacing w:val="-5"/>
          <w:sz w:val="20"/>
          <w:szCs w:val="20"/>
        </w:rPr>
        <w:t xml:space="preserve"> </w:t>
      </w:r>
      <w:r w:rsidRPr="00F1690F">
        <w:rPr>
          <w:rFonts w:ascii="Times New Roman" w:hAnsi="Times New Roman" w:cs="Times New Roman"/>
          <w:sz w:val="20"/>
          <w:szCs w:val="20"/>
        </w:rPr>
        <w:t>Indiana</w:t>
      </w:r>
      <w:r w:rsidRPr="00F1690F">
        <w:rPr>
          <w:rFonts w:ascii="Times New Roman" w:hAnsi="Times New Roman" w:cs="Times New Roman"/>
          <w:spacing w:val="-5"/>
          <w:sz w:val="20"/>
          <w:szCs w:val="20"/>
        </w:rPr>
        <w:t xml:space="preserve"> </w:t>
      </w:r>
      <w:r w:rsidRPr="00F1690F">
        <w:rPr>
          <w:rFonts w:ascii="Times New Roman" w:hAnsi="Times New Roman" w:cs="Times New Roman"/>
          <w:sz w:val="20"/>
          <w:szCs w:val="20"/>
        </w:rPr>
        <w:t>University,</w:t>
      </w:r>
    </w:p>
    <w:p w:rsidR="003B292C" w:rsidRPr="00F1690F" w:rsidRDefault="003B292C" w:rsidP="003B292C">
      <w:pPr>
        <w:pStyle w:val="BodyText"/>
        <w:spacing w:line="265" w:lineRule="exact"/>
        <w:ind w:left="2277"/>
        <w:rPr>
          <w:rFonts w:ascii="Times New Roman" w:hAnsi="Times New Roman" w:cs="Times New Roman"/>
          <w:sz w:val="20"/>
          <w:szCs w:val="20"/>
        </w:rPr>
      </w:pPr>
      <w:r w:rsidRPr="00F1690F">
        <w:rPr>
          <w:rFonts w:ascii="Times New Roman" w:hAnsi="Times New Roman" w:cs="Times New Roman"/>
          <w:sz w:val="20"/>
          <w:szCs w:val="20"/>
        </w:rPr>
        <w:t>Bloomington, IN</w:t>
      </w:r>
    </w:p>
    <w:p w:rsidR="003B292C" w:rsidRPr="00F1690F" w:rsidRDefault="003B292C" w:rsidP="003B292C">
      <w:pPr>
        <w:pStyle w:val="BodyText"/>
        <w:tabs>
          <w:tab w:val="left" w:pos="2277"/>
        </w:tabs>
        <w:spacing w:before="39" w:line="278" w:lineRule="auto"/>
        <w:ind w:left="837" w:right="1391"/>
        <w:rPr>
          <w:rFonts w:ascii="Times New Roman" w:hAnsi="Times New Roman" w:cs="Times New Roman"/>
          <w:sz w:val="20"/>
          <w:szCs w:val="20"/>
        </w:rPr>
      </w:pPr>
      <w:r w:rsidRPr="00F1690F">
        <w:rPr>
          <w:rFonts w:ascii="Times New Roman" w:hAnsi="Times New Roman" w:cs="Times New Roman"/>
          <w:sz w:val="20"/>
          <w:szCs w:val="20"/>
        </w:rPr>
        <w:t>1995- 1999</w:t>
      </w:r>
      <w:r w:rsidRPr="00F1690F">
        <w:rPr>
          <w:rFonts w:ascii="Times New Roman" w:hAnsi="Times New Roman" w:cs="Times New Roman"/>
          <w:sz w:val="20"/>
          <w:szCs w:val="20"/>
        </w:rPr>
        <w:tab/>
        <w:t>Associate Superintendent, Fort Worth Independent School District, Fort Worth, TX. 1992- 1995</w:t>
      </w:r>
      <w:r w:rsidRPr="00F1690F">
        <w:rPr>
          <w:rFonts w:ascii="Times New Roman" w:hAnsi="Times New Roman" w:cs="Times New Roman"/>
          <w:sz w:val="20"/>
          <w:szCs w:val="20"/>
        </w:rPr>
        <w:tab/>
        <w:t>Assistant Superintendent, Fort Worth Independent School District, Fort Worth,</w:t>
      </w:r>
      <w:r w:rsidRPr="00F1690F">
        <w:rPr>
          <w:rFonts w:ascii="Times New Roman" w:hAnsi="Times New Roman" w:cs="Times New Roman"/>
          <w:spacing w:val="-36"/>
          <w:sz w:val="20"/>
          <w:szCs w:val="20"/>
        </w:rPr>
        <w:t xml:space="preserve"> </w:t>
      </w:r>
      <w:r w:rsidRPr="00F1690F">
        <w:rPr>
          <w:rFonts w:ascii="Times New Roman" w:hAnsi="Times New Roman" w:cs="Times New Roman"/>
          <w:sz w:val="20"/>
          <w:szCs w:val="20"/>
        </w:rPr>
        <w:t>TX</w:t>
      </w:r>
    </w:p>
    <w:p w:rsidR="003B292C" w:rsidRPr="00F1690F" w:rsidRDefault="003B292C" w:rsidP="003B292C">
      <w:pPr>
        <w:pStyle w:val="BodyText"/>
        <w:tabs>
          <w:tab w:val="left" w:pos="2277"/>
        </w:tabs>
        <w:spacing w:line="273" w:lineRule="auto"/>
        <w:ind w:left="2277" w:right="921" w:hanging="1440"/>
        <w:rPr>
          <w:rFonts w:ascii="Times New Roman" w:hAnsi="Times New Roman" w:cs="Times New Roman"/>
          <w:sz w:val="20"/>
          <w:szCs w:val="20"/>
        </w:rPr>
      </w:pPr>
      <w:r w:rsidRPr="00F1690F">
        <w:rPr>
          <w:rFonts w:ascii="Times New Roman" w:hAnsi="Times New Roman" w:cs="Times New Roman"/>
          <w:sz w:val="20"/>
          <w:szCs w:val="20"/>
        </w:rPr>
        <w:t>1985- 1992</w:t>
      </w:r>
      <w:r w:rsidRPr="00F1690F">
        <w:rPr>
          <w:rFonts w:ascii="Times New Roman" w:hAnsi="Times New Roman" w:cs="Times New Roman"/>
          <w:sz w:val="20"/>
          <w:szCs w:val="20"/>
        </w:rPr>
        <w:tab/>
        <w:t>Director,</w:t>
      </w:r>
      <w:r w:rsidRPr="00F1690F">
        <w:rPr>
          <w:rFonts w:ascii="Times New Roman" w:hAnsi="Times New Roman" w:cs="Times New Roman"/>
          <w:spacing w:val="-6"/>
          <w:sz w:val="20"/>
          <w:szCs w:val="20"/>
        </w:rPr>
        <w:t xml:space="preserve"> </w:t>
      </w:r>
      <w:r w:rsidRPr="00F1690F">
        <w:rPr>
          <w:rFonts w:ascii="Times New Roman" w:hAnsi="Times New Roman" w:cs="Times New Roman"/>
          <w:sz w:val="20"/>
          <w:szCs w:val="20"/>
        </w:rPr>
        <w:t>Desegregation</w:t>
      </w:r>
      <w:r w:rsidRPr="00F1690F">
        <w:rPr>
          <w:rFonts w:ascii="Times New Roman" w:hAnsi="Times New Roman" w:cs="Times New Roman"/>
          <w:spacing w:val="-5"/>
          <w:sz w:val="20"/>
          <w:szCs w:val="20"/>
        </w:rPr>
        <w:t xml:space="preserve"> </w:t>
      </w:r>
      <w:r w:rsidRPr="00F1690F">
        <w:rPr>
          <w:rFonts w:ascii="Times New Roman" w:hAnsi="Times New Roman" w:cs="Times New Roman"/>
          <w:sz w:val="20"/>
          <w:szCs w:val="20"/>
        </w:rPr>
        <w:t>and</w:t>
      </w:r>
      <w:r w:rsidRPr="00F1690F">
        <w:rPr>
          <w:rFonts w:ascii="Times New Roman" w:hAnsi="Times New Roman" w:cs="Times New Roman"/>
          <w:spacing w:val="-5"/>
          <w:sz w:val="20"/>
          <w:szCs w:val="20"/>
        </w:rPr>
        <w:t xml:space="preserve"> </w:t>
      </w:r>
      <w:r w:rsidRPr="00F1690F">
        <w:rPr>
          <w:rFonts w:ascii="Times New Roman" w:hAnsi="Times New Roman" w:cs="Times New Roman"/>
          <w:sz w:val="20"/>
          <w:szCs w:val="20"/>
        </w:rPr>
        <w:t>Affirmative</w:t>
      </w:r>
      <w:r w:rsidRPr="00F1690F">
        <w:rPr>
          <w:rFonts w:ascii="Times New Roman" w:hAnsi="Times New Roman" w:cs="Times New Roman"/>
          <w:spacing w:val="-5"/>
          <w:sz w:val="20"/>
          <w:szCs w:val="20"/>
        </w:rPr>
        <w:t xml:space="preserve"> </w:t>
      </w:r>
      <w:r w:rsidRPr="00F1690F">
        <w:rPr>
          <w:rFonts w:ascii="Times New Roman" w:hAnsi="Times New Roman" w:cs="Times New Roman"/>
          <w:sz w:val="20"/>
          <w:szCs w:val="20"/>
        </w:rPr>
        <w:t>Action,</w:t>
      </w:r>
      <w:r w:rsidRPr="00F1690F">
        <w:rPr>
          <w:rFonts w:ascii="Times New Roman" w:hAnsi="Times New Roman" w:cs="Times New Roman"/>
          <w:spacing w:val="-5"/>
          <w:sz w:val="20"/>
          <w:szCs w:val="20"/>
        </w:rPr>
        <w:t xml:space="preserve"> </w:t>
      </w:r>
      <w:r w:rsidRPr="00F1690F">
        <w:rPr>
          <w:rFonts w:ascii="Times New Roman" w:hAnsi="Times New Roman" w:cs="Times New Roman"/>
          <w:sz w:val="20"/>
          <w:szCs w:val="20"/>
        </w:rPr>
        <w:t>Fort</w:t>
      </w:r>
      <w:r w:rsidRPr="00F1690F">
        <w:rPr>
          <w:rFonts w:ascii="Times New Roman" w:hAnsi="Times New Roman" w:cs="Times New Roman"/>
          <w:spacing w:val="-6"/>
          <w:sz w:val="20"/>
          <w:szCs w:val="20"/>
        </w:rPr>
        <w:t xml:space="preserve"> </w:t>
      </w:r>
      <w:r w:rsidRPr="00F1690F">
        <w:rPr>
          <w:rFonts w:ascii="Times New Roman" w:hAnsi="Times New Roman" w:cs="Times New Roman"/>
          <w:sz w:val="20"/>
          <w:szCs w:val="20"/>
        </w:rPr>
        <w:t>Worth</w:t>
      </w:r>
      <w:r w:rsidRPr="00F1690F">
        <w:rPr>
          <w:rFonts w:ascii="Times New Roman" w:hAnsi="Times New Roman" w:cs="Times New Roman"/>
          <w:spacing w:val="-5"/>
          <w:sz w:val="20"/>
          <w:szCs w:val="20"/>
        </w:rPr>
        <w:t xml:space="preserve"> </w:t>
      </w:r>
      <w:r w:rsidRPr="00F1690F">
        <w:rPr>
          <w:rFonts w:ascii="Times New Roman" w:hAnsi="Times New Roman" w:cs="Times New Roman"/>
          <w:sz w:val="20"/>
          <w:szCs w:val="20"/>
        </w:rPr>
        <w:t>Independent</w:t>
      </w:r>
      <w:r w:rsidRPr="00F1690F">
        <w:rPr>
          <w:rFonts w:ascii="Times New Roman" w:hAnsi="Times New Roman" w:cs="Times New Roman"/>
          <w:spacing w:val="-5"/>
          <w:sz w:val="20"/>
          <w:szCs w:val="20"/>
        </w:rPr>
        <w:t xml:space="preserve"> </w:t>
      </w:r>
      <w:r w:rsidRPr="00F1690F">
        <w:rPr>
          <w:rFonts w:ascii="Times New Roman" w:hAnsi="Times New Roman" w:cs="Times New Roman"/>
          <w:sz w:val="20"/>
          <w:szCs w:val="20"/>
        </w:rPr>
        <w:t>School</w:t>
      </w:r>
      <w:r w:rsidRPr="00F1690F">
        <w:rPr>
          <w:rFonts w:ascii="Times New Roman" w:hAnsi="Times New Roman" w:cs="Times New Roman"/>
          <w:spacing w:val="-5"/>
          <w:sz w:val="20"/>
          <w:szCs w:val="20"/>
        </w:rPr>
        <w:t xml:space="preserve"> </w:t>
      </w:r>
      <w:r w:rsidRPr="00F1690F">
        <w:rPr>
          <w:rFonts w:ascii="Times New Roman" w:hAnsi="Times New Roman" w:cs="Times New Roman"/>
          <w:sz w:val="20"/>
          <w:szCs w:val="20"/>
        </w:rPr>
        <w:t>District, Fort Worth,</w:t>
      </w:r>
      <w:r w:rsidRPr="00F1690F">
        <w:rPr>
          <w:rFonts w:ascii="Times New Roman" w:hAnsi="Times New Roman" w:cs="Times New Roman"/>
          <w:spacing w:val="-3"/>
          <w:sz w:val="20"/>
          <w:szCs w:val="20"/>
        </w:rPr>
        <w:t xml:space="preserve"> </w:t>
      </w:r>
      <w:r w:rsidRPr="00F1690F">
        <w:rPr>
          <w:rFonts w:ascii="Times New Roman" w:hAnsi="Times New Roman" w:cs="Times New Roman"/>
          <w:sz w:val="20"/>
          <w:szCs w:val="20"/>
        </w:rPr>
        <w:t>TX</w:t>
      </w:r>
    </w:p>
    <w:p w:rsidR="003B292C" w:rsidRPr="00F1690F" w:rsidRDefault="003B292C" w:rsidP="003B292C">
      <w:pPr>
        <w:pStyle w:val="BodyText"/>
        <w:tabs>
          <w:tab w:val="left" w:pos="2277"/>
        </w:tabs>
        <w:spacing w:before="3" w:line="273" w:lineRule="auto"/>
        <w:ind w:left="837" w:right="1997"/>
        <w:rPr>
          <w:rFonts w:ascii="Times New Roman" w:hAnsi="Times New Roman" w:cs="Times New Roman"/>
          <w:sz w:val="20"/>
          <w:szCs w:val="20"/>
        </w:rPr>
      </w:pPr>
      <w:r w:rsidRPr="00F1690F">
        <w:rPr>
          <w:rFonts w:ascii="Times New Roman" w:hAnsi="Times New Roman" w:cs="Times New Roman"/>
          <w:sz w:val="20"/>
          <w:szCs w:val="20"/>
        </w:rPr>
        <w:t>1980- 1985</w:t>
      </w:r>
      <w:r w:rsidRPr="00F1690F">
        <w:rPr>
          <w:rFonts w:ascii="Times New Roman" w:hAnsi="Times New Roman" w:cs="Times New Roman"/>
          <w:sz w:val="20"/>
          <w:szCs w:val="20"/>
        </w:rPr>
        <w:tab/>
        <w:t>Psychologist, Private Practice, Evans Avenue Medical Clinic, Fort Worth, TX 1979- 1985</w:t>
      </w:r>
      <w:r w:rsidRPr="00F1690F">
        <w:rPr>
          <w:rFonts w:ascii="Times New Roman" w:hAnsi="Times New Roman" w:cs="Times New Roman"/>
          <w:sz w:val="20"/>
          <w:szCs w:val="20"/>
        </w:rPr>
        <w:tab/>
        <w:t>School</w:t>
      </w:r>
      <w:r w:rsidRPr="00F1690F">
        <w:rPr>
          <w:rFonts w:ascii="Times New Roman" w:hAnsi="Times New Roman" w:cs="Times New Roman"/>
          <w:spacing w:val="-5"/>
          <w:sz w:val="20"/>
          <w:szCs w:val="20"/>
        </w:rPr>
        <w:t xml:space="preserve"> </w:t>
      </w:r>
      <w:r w:rsidRPr="00F1690F">
        <w:rPr>
          <w:rFonts w:ascii="Times New Roman" w:hAnsi="Times New Roman" w:cs="Times New Roman"/>
          <w:sz w:val="20"/>
          <w:szCs w:val="20"/>
        </w:rPr>
        <w:t>Psychologist,</w:t>
      </w:r>
      <w:r w:rsidRPr="00F1690F">
        <w:rPr>
          <w:rFonts w:ascii="Times New Roman" w:hAnsi="Times New Roman" w:cs="Times New Roman"/>
          <w:spacing w:val="-4"/>
          <w:sz w:val="20"/>
          <w:szCs w:val="20"/>
        </w:rPr>
        <w:t xml:space="preserve"> </w:t>
      </w:r>
      <w:r w:rsidRPr="00F1690F">
        <w:rPr>
          <w:rFonts w:ascii="Times New Roman" w:hAnsi="Times New Roman" w:cs="Times New Roman"/>
          <w:sz w:val="20"/>
          <w:szCs w:val="20"/>
        </w:rPr>
        <w:t>Fort</w:t>
      </w:r>
      <w:r w:rsidRPr="00F1690F">
        <w:rPr>
          <w:rFonts w:ascii="Times New Roman" w:hAnsi="Times New Roman" w:cs="Times New Roman"/>
          <w:spacing w:val="-5"/>
          <w:sz w:val="20"/>
          <w:szCs w:val="20"/>
        </w:rPr>
        <w:t xml:space="preserve"> </w:t>
      </w:r>
      <w:r w:rsidRPr="00F1690F">
        <w:rPr>
          <w:rFonts w:ascii="Times New Roman" w:hAnsi="Times New Roman" w:cs="Times New Roman"/>
          <w:sz w:val="20"/>
          <w:szCs w:val="20"/>
        </w:rPr>
        <w:t>Worth</w:t>
      </w:r>
      <w:r w:rsidRPr="00F1690F">
        <w:rPr>
          <w:rFonts w:ascii="Times New Roman" w:hAnsi="Times New Roman" w:cs="Times New Roman"/>
          <w:spacing w:val="-4"/>
          <w:sz w:val="20"/>
          <w:szCs w:val="20"/>
        </w:rPr>
        <w:t xml:space="preserve"> </w:t>
      </w:r>
      <w:r w:rsidRPr="00F1690F">
        <w:rPr>
          <w:rFonts w:ascii="Times New Roman" w:hAnsi="Times New Roman" w:cs="Times New Roman"/>
          <w:sz w:val="20"/>
          <w:szCs w:val="20"/>
        </w:rPr>
        <w:t>Independent</w:t>
      </w:r>
      <w:r w:rsidRPr="00F1690F">
        <w:rPr>
          <w:rFonts w:ascii="Times New Roman" w:hAnsi="Times New Roman" w:cs="Times New Roman"/>
          <w:spacing w:val="-4"/>
          <w:sz w:val="20"/>
          <w:szCs w:val="20"/>
        </w:rPr>
        <w:t xml:space="preserve"> </w:t>
      </w:r>
      <w:r w:rsidRPr="00F1690F">
        <w:rPr>
          <w:rFonts w:ascii="Times New Roman" w:hAnsi="Times New Roman" w:cs="Times New Roman"/>
          <w:sz w:val="20"/>
          <w:szCs w:val="20"/>
        </w:rPr>
        <w:t>School</w:t>
      </w:r>
      <w:r w:rsidRPr="00F1690F">
        <w:rPr>
          <w:rFonts w:ascii="Times New Roman" w:hAnsi="Times New Roman" w:cs="Times New Roman"/>
          <w:spacing w:val="-4"/>
          <w:sz w:val="20"/>
          <w:szCs w:val="20"/>
        </w:rPr>
        <w:t xml:space="preserve"> </w:t>
      </w:r>
      <w:r w:rsidRPr="00F1690F">
        <w:rPr>
          <w:rFonts w:ascii="Times New Roman" w:hAnsi="Times New Roman" w:cs="Times New Roman"/>
          <w:sz w:val="20"/>
          <w:szCs w:val="20"/>
        </w:rPr>
        <w:t>District,</w:t>
      </w:r>
      <w:r w:rsidRPr="00F1690F">
        <w:rPr>
          <w:rFonts w:ascii="Times New Roman" w:hAnsi="Times New Roman" w:cs="Times New Roman"/>
          <w:spacing w:val="-4"/>
          <w:sz w:val="20"/>
          <w:szCs w:val="20"/>
        </w:rPr>
        <w:t xml:space="preserve"> </w:t>
      </w:r>
      <w:r w:rsidRPr="00F1690F">
        <w:rPr>
          <w:rFonts w:ascii="Times New Roman" w:hAnsi="Times New Roman" w:cs="Times New Roman"/>
          <w:sz w:val="20"/>
          <w:szCs w:val="20"/>
        </w:rPr>
        <w:t>Fort</w:t>
      </w:r>
      <w:r w:rsidRPr="00F1690F">
        <w:rPr>
          <w:rFonts w:ascii="Times New Roman" w:hAnsi="Times New Roman" w:cs="Times New Roman"/>
          <w:spacing w:val="-5"/>
          <w:sz w:val="20"/>
          <w:szCs w:val="20"/>
        </w:rPr>
        <w:t xml:space="preserve"> </w:t>
      </w:r>
      <w:r w:rsidRPr="00F1690F">
        <w:rPr>
          <w:rFonts w:ascii="Times New Roman" w:hAnsi="Times New Roman" w:cs="Times New Roman"/>
          <w:sz w:val="20"/>
          <w:szCs w:val="20"/>
        </w:rPr>
        <w:t>Worth,</w:t>
      </w:r>
      <w:r w:rsidRPr="00F1690F">
        <w:rPr>
          <w:rFonts w:ascii="Times New Roman" w:hAnsi="Times New Roman" w:cs="Times New Roman"/>
          <w:spacing w:val="-4"/>
          <w:sz w:val="20"/>
          <w:szCs w:val="20"/>
        </w:rPr>
        <w:t xml:space="preserve"> </w:t>
      </w:r>
      <w:r w:rsidRPr="00F1690F">
        <w:rPr>
          <w:rFonts w:ascii="Times New Roman" w:hAnsi="Times New Roman" w:cs="Times New Roman"/>
          <w:sz w:val="20"/>
          <w:szCs w:val="20"/>
        </w:rPr>
        <w:t>TX</w:t>
      </w:r>
    </w:p>
    <w:p w:rsidR="003B292C" w:rsidRPr="00F1690F" w:rsidRDefault="003B292C" w:rsidP="003B292C">
      <w:pPr>
        <w:pStyle w:val="BodyText"/>
        <w:spacing w:before="1"/>
        <w:rPr>
          <w:rFonts w:ascii="Times New Roman" w:hAnsi="Times New Roman" w:cs="Times New Roman"/>
          <w:sz w:val="20"/>
          <w:szCs w:val="20"/>
        </w:rPr>
      </w:pPr>
    </w:p>
    <w:p w:rsidR="003B292C" w:rsidRPr="00F1690F" w:rsidRDefault="003B292C" w:rsidP="003B292C">
      <w:pPr>
        <w:pStyle w:val="Heading1"/>
        <w:rPr>
          <w:rFonts w:ascii="Times New Roman" w:hAnsi="Times New Roman" w:cs="Times New Roman"/>
          <w:sz w:val="20"/>
          <w:szCs w:val="20"/>
        </w:rPr>
      </w:pPr>
      <w:r w:rsidRPr="00F1690F">
        <w:rPr>
          <w:rFonts w:ascii="Times New Roman" w:hAnsi="Times New Roman" w:cs="Times New Roman"/>
          <w:sz w:val="20"/>
          <w:szCs w:val="20"/>
        </w:rPr>
        <w:t>Areas of Expertise</w:t>
      </w:r>
    </w:p>
    <w:p w:rsidR="003B292C" w:rsidRPr="00F1690F" w:rsidRDefault="003B292C" w:rsidP="003B292C">
      <w:pPr>
        <w:pStyle w:val="BodyText"/>
        <w:spacing w:before="12"/>
        <w:rPr>
          <w:rFonts w:ascii="Times New Roman" w:hAnsi="Times New Roman" w:cs="Times New Roman"/>
          <w:b/>
          <w:sz w:val="20"/>
          <w:szCs w:val="20"/>
        </w:rPr>
      </w:pPr>
    </w:p>
    <w:p w:rsidR="003B292C" w:rsidRPr="00F1690F" w:rsidRDefault="003B292C" w:rsidP="003B292C">
      <w:pPr>
        <w:pStyle w:val="Heading2"/>
        <w:ind w:left="837" w:right="1016"/>
        <w:rPr>
          <w:rFonts w:ascii="Times New Roman" w:hAnsi="Times New Roman" w:cs="Times New Roman"/>
          <w:i/>
          <w:color w:val="auto"/>
          <w:sz w:val="20"/>
          <w:szCs w:val="20"/>
        </w:rPr>
      </w:pPr>
      <w:r w:rsidRPr="00F1690F">
        <w:rPr>
          <w:rFonts w:ascii="Times New Roman" w:hAnsi="Times New Roman" w:cs="Times New Roman"/>
          <w:i/>
          <w:color w:val="auto"/>
          <w:sz w:val="20"/>
          <w:szCs w:val="20"/>
        </w:rPr>
        <w:t>Leading Educational Change, Equity, Teacher Appraisal, Unified Systems, Educational Research and Policy, Research Methodology</w:t>
      </w:r>
    </w:p>
    <w:p w:rsidR="003B292C" w:rsidRPr="00F1690F" w:rsidRDefault="003B292C" w:rsidP="003B292C">
      <w:pPr>
        <w:pStyle w:val="Heading2"/>
        <w:ind w:right="1016"/>
        <w:rPr>
          <w:rFonts w:ascii="Times New Roman" w:hAnsi="Times New Roman" w:cs="Times New Roman"/>
          <w:i/>
          <w:color w:val="auto"/>
          <w:sz w:val="20"/>
          <w:szCs w:val="20"/>
        </w:rPr>
      </w:pPr>
      <w:r w:rsidRPr="00F1690F">
        <w:rPr>
          <w:rFonts w:ascii="Times New Roman" w:hAnsi="Times New Roman" w:cs="Times New Roman"/>
          <w:i/>
          <w:color w:val="auto"/>
          <w:sz w:val="20"/>
          <w:szCs w:val="20"/>
        </w:rPr>
        <w:t xml:space="preserve">               Recent School Change Projects:</w:t>
      </w:r>
    </w:p>
    <w:p w:rsidR="003B292C" w:rsidRPr="00F1690F" w:rsidRDefault="003B292C" w:rsidP="003B292C">
      <w:pPr>
        <w:pStyle w:val="Heading2"/>
        <w:ind w:left="837" w:right="1016"/>
        <w:rPr>
          <w:rFonts w:ascii="Times New Roman" w:hAnsi="Times New Roman" w:cs="Times New Roman"/>
          <w:i/>
          <w:color w:val="auto"/>
          <w:sz w:val="20"/>
          <w:szCs w:val="20"/>
        </w:rPr>
      </w:pPr>
      <w:r w:rsidRPr="00F1690F">
        <w:rPr>
          <w:rFonts w:ascii="Times New Roman" w:hAnsi="Times New Roman" w:cs="Times New Roman"/>
          <w:i/>
          <w:color w:val="auto"/>
          <w:sz w:val="20"/>
          <w:szCs w:val="20"/>
        </w:rPr>
        <w:t>External Evaluator 2019-20 Plymouth High School Special Education Program</w:t>
      </w:r>
    </w:p>
    <w:p w:rsidR="003B292C" w:rsidRPr="00F1690F" w:rsidRDefault="003B292C" w:rsidP="003B292C">
      <w:pPr>
        <w:pStyle w:val="Heading2"/>
        <w:ind w:left="837" w:right="1016"/>
        <w:rPr>
          <w:rFonts w:ascii="Times New Roman" w:hAnsi="Times New Roman" w:cs="Times New Roman"/>
          <w:i/>
          <w:color w:val="auto"/>
          <w:sz w:val="20"/>
          <w:szCs w:val="20"/>
        </w:rPr>
      </w:pPr>
      <w:r w:rsidRPr="00F1690F">
        <w:rPr>
          <w:rFonts w:ascii="Times New Roman" w:hAnsi="Times New Roman" w:cs="Times New Roman"/>
          <w:i/>
          <w:color w:val="auto"/>
          <w:sz w:val="20"/>
          <w:szCs w:val="20"/>
        </w:rPr>
        <w:t>External Evaluator 2019-20 Crown Point School Corporation Special Education Program</w:t>
      </w:r>
    </w:p>
    <w:p w:rsidR="003B292C" w:rsidRPr="00F1690F" w:rsidRDefault="003B292C" w:rsidP="003B292C">
      <w:pPr>
        <w:pStyle w:val="Heading2"/>
        <w:ind w:left="837" w:right="1016"/>
        <w:rPr>
          <w:rFonts w:ascii="Times New Roman" w:hAnsi="Times New Roman" w:cs="Times New Roman"/>
          <w:i/>
          <w:color w:val="auto"/>
          <w:sz w:val="20"/>
          <w:szCs w:val="20"/>
        </w:rPr>
      </w:pPr>
      <w:r w:rsidRPr="00F1690F">
        <w:rPr>
          <w:rFonts w:ascii="Times New Roman" w:hAnsi="Times New Roman" w:cs="Times New Roman"/>
          <w:i/>
          <w:color w:val="auto"/>
          <w:sz w:val="20"/>
          <w:szCs w:val="20"/>
        </w:rPr>
        <w:t>External Evaluator 2020-     Plymouth School Corporation Strategic Plan</w:t>
      </w:r>
    </w:p>
    <w:p w:rsidR="003B292C" w:rsidRPr="00F1690F" w:rsidRDefault="003B292C" w:rsidP="003B292C">
      <w:pPr>
        <w:pStyle w:val="Heading2"/>
        <w:ind w:left="837" w:right="1016"/>
        <w:rPr>
          <w:rFonts w:ascii="Times New Roman" w:hAnsi="Times New Roman" w:cs="Times New Roman"/>
          <w:i/>
          <w:color w:val="auto"/>
          <w:sz w:val="20"/>
          <w:szCs w:val="20"/>
        </w:rPr>
      </w:pPr>
      <w:r w:rsidRPr="00F1690F">
        <w:rPr>
          <w:rFonts w:ascii="Times New Roman" w:hAnsi="Times New Roman" w:cs="Times New Roman"/>
          <w:i/>
          <w:color w:val="auto"/>
          <w:sz w:val="20"/>
          <w:szCs w:val="20"/>
        </w:rPr>
        <w:t>External Evaluator 2020-     Crown Point School Corporation Strategic Plan</w:t>
      </w:r>
    </w:p>
    <w:p w:rsidR="003B292C" w:rsidRPr="00F1690F" w:rsidRDefault="003B292C" w:rsidP="003B292C">
      <w:pPr>
        <w:pStyle w:val="Heading2"/>
        <w:ind w:left="837" w:right="1016"/>
        <w:rPr>
          <w:rFonts w:ascii="Times New Roman" w:hAnsi="Times New Roman" w:cs="Times New Roman"/>
          <w:i/>
          <w:color w:val="auto"/>
          <w:sz w:val="20"/>
          <w:szCs w:val="20"/>
        </w:rPr>
      </w:pPr>
      <w:r w:rsidRPr="00F1690F">
        <w:rPr>
          <w:rFonts w:ascii="Times New Roman" w:hAnsi="Times New Roman" w:cs="Times New Roman"/>
          <w:i/>
          <w:color w:val="auto"/>
          <w:sz w:val="20"/>
          <w:szCs w:val="20"/>
        </w:rPr>
        <w:t>External Evaluator 2020-20 Roncalli High School Special Education Program review</w:t>
      </w:r>
    </w:p>
    <w:p w:rsidR="003B292C" w:rsidRPr="00F1690F" w:rsidRDefault="003B292C" w:rsidP="003B292C">
      <w:pPr>
        <w:pStyle w:val="Heading2"/>
        <w:ind w:left="837" w:right="1016"/>
        <w:rPr>
          <w:rFonts w:ascii="Times New Roman" w:hAnsi="Times New Roman" w:cs="Times New Roman"/>
          <w:i/>
          <w:color w:val="auto"/>
          <w:sz w:val="20"/>
          <w:szCs w:val="20"/>
        </w:rPr>
      </w:pPr>
    </w:p>
    <w:p w:rsidR="003B292C" w:rsidRPr="00F1690F" w:rsidRDefault="003B292C" w:rsidP="003B292C">
      <w:pPr>
        <w:pStyle w:val="BodyText"/>
        <w:spacing w:before="6"/>
        <w:rPr>
          <w:rFonts w:ascii="Times New Roman" w:hAnsi="Times New Roman" w:cs="Times New Roman"/>
          <w:sz w:val="20"/>
          <w:szCs w:val="20"/>
        </w:rPr>
      </w:pPr>
    </w:p>
    <w:p w:rsidR="003B292C" w:rsidRPr="00F1690F" w:rsidRDefault="003B292C" w:rsidP="003B292C">
      <w:pPr>
        <w:ind w:left="117"/>
        <w:rPr>
          <w:b/>
          <w:sz w:val="20"/>
          <w:szCs w:val="20"/>
        </w:rPr>
      </w:pPr>
      <w:r w:rsidRPr="00F1690F">
        <w:rPr>
          <w:b/>
          <w:sz w:val="20"/>
          <w:szCs w:val="20"/>
        </w:rPr>
        <w:t>Selected Funded Projects:</w:t>
      </w:r>
    </w:p>
    <w:p w:rsidR="003B292C" w:rsidRPr="00F1690F" w:rsidRDefault="003B292C" w:rsidP="003B292C">
      <w:pPr>
        <w:tabs>
          <w:tab w:val="left" w:pos="2997"/>
          <w:tab w:val="left" w:pos="8757"/>
        </w:tabs>
        <w:spacing w:before="43" w:line="276" w:lineRule="auto"/>
        <w:ind w:left="2997" w:right="946" w:hanging="2160"/>
        <w:rPr>
          <w:sz w:val="20"/>
          <w:szCs w:val="20"/>
        </w:rPr>
      </w:pPr>
      <w:r w:rsidRPr="00F1690F">
        <w:rPr>
          <w:sz w:val="20"/>
          <w:szCs w:val="20"/>
        </w:rPr>
        <w:lastRenderedPageBreak/>
        <w:t>2021- 2026                   Indiana Department of Education                                              $5,000,000</w:t>
      </w:r>
    </w:p>
    <w:p w:rsidR="003B292C" w:rsidRPr="00F1690F" w:rsidRDefault="003B292C" w:rsidP="003B292C">
      <w:pPr>
        <w:tabs>
          <w:tab w:val="left" w:pos="2997"/>
          <w:tab w:val="left" w:pos="8757"/>
        </w:tabs>
        <w:spacing w:before="43" w:line="276" w:lineRule="auto"/>
        <w:ind w:left="2997" w:right="946" w:hanging="2160"/>
        <w:rPr>
          <w:sz w:val="20"/>
          <w:szCs w:val="20"/>
        </w:rPr>
      </w:pPr>
      <w:r w:rsidRPr="00F1690F">
        <w:rPr>
          <w:sz w:val="20"/>
          <w:szCs w:val="20"/>
        </w:rPr>
        <w:t xml:space="preserve">                                        Five-year State Professional Development Grant (SPDG) from Office of Special Education Programs (OSEP) to improve the educational outcomes for students with disabilities in urban/suburban/ and rural settings by ensuring access to high quality instruction.</w:t>
      </w:r>
    </w:p>
    <w:p w:rsidR="003B292C" w:rsidRPr="00F1690F" w:rsidRDefault="003B292C" w:rsidP="003B292C">
      <w:pPr>
        <w:tabs>
          <w:tab w:val="left" w:pos="2997"/>
          <w:tab w:val="left" w:pos="8757"/>
        </w:tabs>
        <w:spacing w:before="43" w:line="276" w:lineRule="auto"/>
        <w:ind w:left="2997" w:right="946" w:hanging="2160"/>
        <w:rPr>
          <w:sz w:val="20"/>
          <w:szCs w:val="20"/>
        </w:rPr>
      </w:pPr>
      <w:r w:rsidRPr="00F1690F">
        <w:rPr>
          <w:sz w:val="20"/>
          <w:szCs w:val="20"/>
        </w:rPr>
        <w:t>2016-2021</w:t>
      </w:r>
      <w:r w:rsidRPr="00F1690F">
        <w:rPr>
          <w:sz w:val="20"/>
          <w:szCs w:val="20"/>
        </w:rPr>
        <w:tab/>
        <w:t>Indiana Department</w:t>
      </w:r>
      <w:r w:rsidRPr="00F1690F">
        <w:rPr>
          <w:spacing w:val="-2"/>
          <w:sz w:val="20"/>
          <w:szCs w:val="20"/>
        </w:rPr>
        <w:t xml:space="preserve"> </w:t>
      </w:r>
      <w:r w:rsidRPr="00F1690F">
        <w:rPr>
          <w:sz w:val="20"/>
          <w:szCs w:val="20"/>
        </w:rPr>
        <w:t>of</w:t>
      </w:r>
      <w:r w:rsidRPr="00F1690F">
        <w:rPr>
          <w:spacing w:val="-1"/>
          <w:sz w:val="20"/>
          <w:szCs w:val="20"/>
        </w:rPr>
        <w:t xml:space="preserve"> </w:t>
      </w:r>
      <w:r w:rsidRPr="00F1690F">
        <w:rPr>
          <w:sz w:val="20"/>
          <w:szCs w:val="20"/>
        </w:rPr>
        <w:t>Education</w:t>
      </w:r>
      <w:r w:rsidRPr="00F1690F">
        <w:rPr>
          <w:sz w:val="20"/>
          <w:szCs w:val="20"/>
        </w:rPr>
        <w:tab/>
        <w:t>$5,021,000 Five-year State Professional Development Grant (SPDG) from Office of Special Education Programs (OSEP) to improve the educational outcomes for students with disabilities in urban settings by ensuring access to high quality instruction.</w:t>
      </w:r>
    </w:p>
    <w:p w:rsidR="003B292C" w:rsidRPr="00F1690F" w:rsidRDefault="003B292C" w:rsidP="003B292C">
      <w:pPr>
        <w:tabs>
          <w:tab w:val="left" w:pos="2997"/>
          <w:tab w:val="left" w:pos="8757"/>
        </w:tabs>
        <w:spacing w:line="278" w:lineRule="auto"/>
        <w:ind w:left="2997" w:right="921" w:hanging="2160"/>
        <w:rPr>
          <w:sz w:val="20"/>
          <w:szCs w:val="20"/>
        </w:rPr>
      </w:pPr>
      <w:r w:rsidRPr="00F1690F">
        <w:rPr>
          <w:sz w:val="20"/>
          <w:szCs w:val="20"/>
        </w:rPr>
        <w:t>2014-2017</w:t>
      </w:r>
      <w:r w:rsidRPr="00F1690F">
        <w:rPr>
          <w:sz w:val="20"/>
          <w:szCs w:val="20"/>
        </w:rPr>
        <w:tab/>
        <w:t>Indiana State Board of</w:t>
      </w:r>
      <w:r w:rsidRPr="00F1690F">
        <w:rPr>
          <w:spacing w:val="-6"/>
          <w:sz w:val="20"/>
          <w:szCs w:val="20"/>
        </w:rPr>
        <w:t xml:space="preserve"> </w:t>
      </w:r>
      <w:r w:rsidRPr="00F1690F">
        <w:rPr>
          <w:sz w:val="20"/>
          <w:szCs w:val="20"/>
        </w:rPr>
        <w:t>Education/Joyce</w:t>
      </w:r>
      <w:r w:rsidRPr="00F1690F">
        <w:rPr>
          <w:spacing w:val="-2"/>
          <w:sz w:val="20"/>
          <w:szCs w:val="20"/>
        </w:rPr>
        <w:t xml:space="preserve"> </w:t>
      </w:r>
      <w:r w:rsidRPr="00F1690F">
        <w:rPr>
          <w:sz w:val="20"/>
          <w:szCs w:val="20"/>
        </w:rPr>
        <w:t>Foundation</w:t>
      </w:r>
      <w:r w:rsidRPr="00F1690F">
        <w:rPr>
          <w:sz w:val="20"/>
          <w:szCs w:val="20"/>
        </w:rPr>
        <w:tab/>
        <w:t>$2,250,000 Three-year grant to support research, evaluation and technical assistance related to Indiana’s teacher evaluation</w:t>
      </w:r>
      <w:r w:rsidRPr="00F1690F">
        <w:rPr>
          <w:spacing w:val="-1"/>
          <w:sz w:val="20"/>
          <w:szCs w:val="20"/>
        </w:rPr>
        <w:t xml:space="preserve"> </w:t>
      </w:r>
      <w:r w:rsidRPr="00F1690F">
        <w:rPr>
          <w:sz w:val="20"/>
          <w:szCs w:val="20"/>
        </w:rPr>
        <w:t>system.</w:t>
      </w:r>
    </w:p>
    <w:p w:rsidR="003B292C" w:rsidRPr="00F1690F" w:rsidRDefault="003B292C" w:rsidP="003B292C">
      <w:pPr>
        <w:tabs>
          <w:tab w:val="left" w:pos="2997"/>
          <w:tab w:val="left" w:pos="8757"/>
        </w:tabs>
        <w:spacing w:line="278" w:lineRule="auto"/>
        <w:ind w:right="921"/>
        <w:rPr>
          <w:b/>
          <w:sz w:val="20"/>
          <w:szCs w:val="20"/>
        </w:rPr>
      </w:pPr>
      <w:r w:rsidRPr="00F1690F">
        <w:rPr>
          <w:b/>
          <w:sz w:val="20"/>
          <w:szCs w:val="20"/>
        </w:rPr>
        <w:t>Unfunded:</w:t>
      </w:r>
    </w:p>
    <w:p w:rsidR="003B292C" w:rsidRPr="00F1690F" w:rsidRDefault="003B292C" w:rsidP="003B292C">
      <w:pPr>
        <w:tabs>
          <w:tab w:val="left" w:pos="2997"/>
          <w:tab w:val="left" w:pos="8757"/>
        </w:tabs>
        <w:spacing w:line="278" w:lineRule="auto"/>
        <w:ind w:right="921"/>
        <w:rPr>
          <w:b/>
          <w:sz w:val="20"/>
          <w:szCs w:val="20"/>
        </w:rPr>
      </w:pPr>
    </w:p>
    <w:p w:rsidR="003B292C" w:rsidRPr="00F1690F" w:rsidRDefault="003B292C" w:rsidP="003B292C">
      <w:pPr>
        <w:tabs>
          <w:tab w:val="left" w:pos="2997"/>
          <w:tab w:val="left" w:pos="8757"/>
        </w:tabs>
        <w:spacing w:line="278" w:lineRule="auto"/>
        <w:ind w:right="921"/>
        <w:rPr>
          <w:sz w:val="20"/>
          <w:szCs w:val="20"/>
        </w:rPr>
      </w:pPr>
      <w:r w:rsidRPr="00F1690F">
        <w:rPr>
          <w:sz w:val="20"/>
          <w:szCs w:val="20"/>
        </w:rPr>
        <w:t>Proposal submitted to the Indiana Department of Education for a Race and Equity Initiative for Indiana School Superintendents to strain school superintendents in the initiation of efforts to address race and equity initiatives in their district and schools. (2020)</w:t>
      </w:r>
    </w:p>
    <w:p w:rsidR="003B292C" w:rsidRPr="00F1690F" w:rsidRDefault="003B292C" w:rsidP="003B292C">
      <w:pPr>
        <w:spacing w:line="287" w:lineRule="exact"/>
        <w:rPr>
          <w:sz w:val="20"/>
          <w:szCs w:val="20"/>
        </w:rPr>
      </w:pPr>
    </w:p>
    <w:p w:rsidR="003B292C" w:rsidRPr="00F1690F" w:rsidRDefault="003B292C" w:rsidP="003B292C">
      <w:pPr>
        <w:spacing w:line="287" w:lineRule="exact"/>
        <w:rPr>
          <w:b/>
          <w:sz w:val="20"/>
          <w:szCs w:val="20"/>
        </w:rPr>
      </w:pPr>
      <w:r w:rsidRPr="00F1690F">
        <w:rPr>
          <w:b/>
          <w:sz w:val="20"/>
          <w:szCs w:val="20"/>
        </w:rPr>
        <w:t>Selected Publications:</w:t>
      </w:r>
    </w:p>
    <w:p w:rsidR="003B292C" w:rsidRPr="00F1690F" w:rsidRDefault="003B292C" w:rsidP="003B292C">
      <w:pPr>
        <w:shd w:val="clear" w:color="auto" w:fill="FFFFFF"/>
        <w:spacing w:before="240" w:line="360" w:lineRule="auto"/>
        <w:rPr>
          <w:sz w:val="20"/>
          <w:szCs w:val="20"/>
          <w:shd w:val="clear" w:color="auto" w:fill="FFFFFF"/>
        </w:rPr>
      </w:pPr>
      <w:r w:rsidRPr="00F1690F">
        <w:rPr>
          <w:sz w:val="20"/>
          <w:szCs w:val="20"/>
          <w:shd w:val="clear" w:color="auto" w:fill="FFFFFF"/>
        </w:rPr>
        <w:t xml:space="preserve">Cole, S. M., Murphy, H. R., Frisby, M. B., </w:t>
      </w:r>
      <w:proofErr w:type="spellStart"/>
      <w:r w:rsidRPr="00F1690F">
        <w:rPr>
          <w:sz w:val="20"/>
          <w:szCs w:val="20"/>
          <w:shd w:val="clear" w:color="auto" w:fill="FFFFFF"/>
        </w:rPr>
        <w:t>Grossi</w:t>
      </w:r>
      <w:proofErr w:type="spellEnd"/>
      <w:r w:rsidRPr="00F1690F">
        <w:rPr>
          <w:sz w:val="20"/>
          <w:szCs w:val="20"/>
          <w:shd w:val="clear" w:color="auto" w:fill="FFFFFF"/>
        </w:rPr>
        <w:t>, T. A., &amp; Bolte, H. R. (2021). The Relationship of Special Education Placement and Student Academic Outcomes. </w:t>
      </w:r>
      <w:r w:rsidRPr="00F1690F">
        <w:rPr>
          <w:i/>
          <w:iCs/>
          <w:sz w:val="20"/>
          <w:szCs w:val="20"/>
          <w:shd w:val="clear" w:color="auto" w:fill="FFFFFF"/>
        </w:rPr>
        <w:t>The Journal of Special Education</w:t>
      </w:r>
      <w:r w:rsidRPr="00F1690F">
        <w:rPr>
          <w:sz w:val="20"/>
          <w:szCs w:val="20"/>
          <w:shd w:val="clear" w:color="auto" w:fill="FFFFFF"/>
        </w:rPr>
        <w:t>, </w:t>
      </w:r>
      <w:r w:rsidRPr="00F1690F">
        <w:rPr>
          <w:i/>
          <w:iCs/>
          <w:sz w:val="20"/>
          <w:szCs w:val="20"/>
          <w:shd w:val="clear" w:color="auto" w:fill="FFFFFF"/>
        </w:rPr>
        <w:t>54</w:t>
      </w:r>
      <w:r w:rsidRPr="00F1690F">
        <w:rPr>
          <w:sz w:val="20"/>
          <w:szCs w:val="20"/>
          <w:shd w:val="clear" w:color="auto" w:fill="FFFFFF"/>
        </w:rPr>
        <w:t>(4), 217–227. </w:t>
      </w:r>
      <w:hyperlink r:id="rId4" w:history="1">
        <w:r w:rsidRPr="00F1690F">
          <w:rPr>
            <w:rStyle w:val="Hyperlink"/>
            <w:color w:val="auto"/>
            <w:sz w:val="20"/>
            <w:szCs w:val="20"/>
            <w:shd w:val="clear" w:color="auto" w:fill="FFFFFF"/>
          </w:rPr>
          <w:t>https://doi.org/10.1177/0022466920925033</w:t>
        </w:r>
      </w:hyperlink>
      <w:r w:rsidRPr="00F1690F">
        <w:rPr>
          <w:sz w:val="20"/>
          <w:szCs w:val="20"/>
        </w:rPr>
        <w:t xml:space="preserve"> (</w:t>
      </w:r>
      <w:r w:rsidRPr="00F1690F">
        <w:rPr>
          <w:sz w:val="20"/>
          <w:szCs w:val="20"/>
          <w:shd w:val="clear" w:color="auto" w:fill="FFFFFF"/>
        </w:rPr>
        <w:t>Article first published online: June 1, 2020; Issue published: February 1, 2021).</w:t>
      </w:r>
    </w:p>
    <w:p w:rsidR="003B292C" w:rsidRPr="00F1690F" w:rsidRDefault="003B292C" w:rsidP="003B292C">
      <w:pPr>
        <w:spacing w:before="1" w:line="360" w:lineRule="auto"/>
        <w:ind w:right="1331"/>
        <w:rPr>
          <w:sz w:val="20"/>
          <w:szCs w:val="20"/>
        </w:rPr>
      </w:pPr>
    </w:p>
    <w:p w:rsidR="003B292C" w:rsidRPr="00F1690F" w:rsidRDefault="003B292C" w:rsidP="003B292C">
      <w:pPr>
        <w:spacing w:before="1" w:line="360" w:lineRule="auto"/>
        <w:ind w:right="1331"/>
        <w:rPr>
          <w:i/>
          <w:sz w:val="20"/>
          <w:szCs w:val="20"/>
        </w:rPr>
      </w:pPr>
      <w:r w:rsidRPr="00F1690F">
        <w:rPr>
          <w:sz w:val="20"/>
          <w:szCs w:val="20"/>
        </w:rPr>
        <w:t xml:space="preserve">Cole, C.M., Murphy, H. R., Frisby, M. B., </w:t>
      </w:r>
      <w:proofErr w:type="spellStart"/>
      <w:r w:rsidRPr="00F1690F">
        <w:rPr>
          <w:sz w:val="20"/>
          <w:szCs w:val="20"/>
        </w:rPr>
        <w:t>Grossi</w:t>
      </w:r>
      <w:proofErr w:type="spellEnd"/>
      <w:r w:rsidRPr="00F1690F">
        <w:rPr>
          <w:sz w:val="20"/>
          <w:szCs w:val="20"/>
        </w:rPr>
        <w:t xml:space="preserve">, T., and Bolte, H. (2019). A Longitudinal Study to Determine the Impact of Inclusion on Student Academic Outcomes. Presented at the </w:t>
      </w:r>
      <w:r w:rsidRPr="00F1690F">
        <w:rPr>
          <w:i/>
          <w:sz w:val="20"/>
          <w:szCs w:val="20"/>
        </w:rPr>
        <w:t>CARE Conference in Las Vegas in February 2019</w:t>
      </w:r>
      <w:r w:rsidRPr="00F1690F">
        <w:rPr>
          <w:sz w:val="20"/>
          <w:szCs w:val="20"/>
        </w:rPr>
        <w:t xml:space="preserve">. Submitted for publication to the </w:t>
      </w:r>
      <w:r w:rsidRPr="00F1690F">
        <w:rPr>
          <w:i/>
          <w:sz w:val="20"/>
          <w:szCs w:val="20"/>
        </w:rPr>
        <w:t>Journal of Special Education.</w:t>
      </w:r>
    </w:p>
    <w:p w:rsidR="003B292C" w:rsidRPr="00F1690F" w:rsidRDefault="003B292C" w:rsidP="003B292C">
      <w:pPr>
        <w:spacing w:before="1" w:line="276" w:lineRule="auto"/>
        <w:ind w:right="1622"/>
        <w:rPr>
          <w:sz w:val="20"/>
          <w:szCs w:val="20"/>
        </w:rPr>
      </w:pPr>
    </w:p>
    <w:p w:rsidR="003B292C" w:rsidRPr="00F1690F" w:rsidRDefault="003B292C" w:rsidP="003B292C">
      <w:pPr>
        <w:spacing w:before="1" w:line="276" w:lineRule="auto"/>
        <w:ind w:right="1622"/>
        <w:rPr>
          <w:sz w:val="20"/>
          <w:szCs w:val="20"/>
        </w:rPr>
      </w:pPr>
      <w:r w:rsidRPr="00F1690F">
        <w:rPr>
          <w:sz w:val="20"/>
          <w:szCs w:val="20"/>
        </w:rPr>
        <w:t xml:space="preserve">Pike, G., Murphy, H., Rogan, P., &amp; Hudgins, D. (2018). </w:t>
      </w:r>
      <w:r w:rsidRPr="00F1690F">
        <w:rPr>
          <w:i/>
          <w:sz w:val="20"/>
          <w:szCs w:val="20"/>
        </w:rPr>
        <w:t xml:space="preserve">Unfulfilled Promises: Transfer to a Charter School and Student Achievement in Indiana. </w:t>
      </w:r>
      <w:r w:rsidRPr="00F1690F">
        <w:rPr>
          <w:sz w:val="20"/>
          <w:szCs w:val="20"/>
        </w:rPr>
        <w:t>Paper presented at American Educational Research Association Annual Conference: New York, N.Y.</w:t>
      </w:r>
    </w:p>
    <w:p w:rsidR="003B292C" w:rsidRPr="00F1690F" w:rsidRDefault="003B292C" w:rsidP="003B292C">
      <w:pPr>
        <w:spacing w:line="278" w:lineRule="auto"/>
        <w:ind w:right="879"/>
        <w:rPr>
          <w:sz w:val="20"/>
          <w:szCs w:val="20"/>
        </w:rPr>
      </w:pPr>
    </w:p>
    <w:p w:rsidR="003B292C" w:rsidRPr="00F1690F" w:rsidRDefault="003B292C" w:rsidP="003B292C">
      <w:pPr>
        <w:spacing w:line="278" w:lineRule="auto"/>
        <w:ind w:right="879"/>
        <w:rPr>
          <w:sz w:val="20"/>
          <w:szCs w:val="20"/>
        </w:rPr>
      </w:pPr>
      <w:r w:rsidRPr="00F1690F">
        <w:rPr>
          <w:sz w:val="20"/>
          <w:szCs w:val="20"/>
        </w:rPr>
        <w:t xml:space="preserve">Murphy, H. &amp; Cole, S. (2018). </w:t>
      </w:r>
      <w:r w:rsidRPr="00F1690F">
        <w:rPr>
          <w:i/>
          <w:sz w:val="20"/>
          <w:szCs w:val="20"/>
        </w:rPr>
        <w:t xml:space="preserve">Indiana Teacher Evaluation System: A four-year analysis. </w:t>
      </w:r>
      <w:r w:rsidRPr="00F1690F">
        <w:rPr>
          <w:sz w:val="20"/>
          <w:szCs w:val="20"/>
        </w:rPr>
        <w:t>Paper presented at American Educational Research Association Annual Conference: New York, N.Y.</w:t>
      </w:r>
    </w:p>
    <w:p w:rsidR="003B292C" w:rsidRPr="00F1690F" w:rsidRDefault="003B292C" w:rsidP="003B292C">
      <w:pPr>
        <w:spacing w:line="276" w:lineRule="auto"/>
        <w:ind w:right="1133"/>
        <w:rPr>
          <w:sz w:val="20"/>
          <w:szCs w:val="20"/>
        </w:rPr>
      </w:pPr>
      <w:r w:rsidRPr="00F1690F">
        <w:rPr>
          <w:sz w:val="20"/>
          <w:szCs w:val="20"/>
        </w:rPr>
        <w:t xml:space="preserve">Murphy, H. &amp; Cole, S. (2017). </w:t>
      </w:r>
      <w:r w:rsidRPr="00F1690F">
        <w:rPr>
          <w:i/>
          <w:sz w:val="20"/>
          <w:szCs w:val="20"/>
        </w:rPr>
        <w:t xml:space="preserve">Indiana Teacher Evaluation System: A four-year analysis. </w:t>
      </w:r>
      <w:r w:rsidRPr="00F1690F">
        <w:rPr>
          <w:sz w:val="20"/>
          <w:szCs w:val="20"/>
        </w:rPr>
        <w:t>Report submitted to the Indiana State Board of Education. Center on Education and Lifelong Learning: Indiana University.</w:t>
      </w:r>
    </w:p>
    <w:p w:rsidR="003B292C" w:rsidRPr="00F1690F" w:rsidRDefault="003B292C" w:rsidP="003B292C">
      <w:pPr>
        <w:spacing w:line="290" w:lineRule="exact"/>
        <w:rPr>
          <w:sz w:val="20"/>
          <w:szCs w:val="20"/>
        </w:rPr>
      </w:pPr>
    </w:p>
    <w:p w:rsidR="003B292C" w:rsidRPr="00F1690F" w:rsidRDefault="003B292C" w:rsidP="003B292C">
      <w:pPr>
        <w:spacing w:line="290" w:lineRule="exact"/>
        <w:rPr>
          <w:i/>
          <w:sz w:val="20"/>
          <w:szCs w:val="20"/>
        </w:rPr>
      </w:pPr>
      <w:r w:rsidRPr="00F1690F">
        <w:rPr>
          <w:sz w:val="20"/>
          <w:szCs w:val="20"/>
        </w:rPr>
        <w:lastRenderedPageBreak/>
        <w:t xml:space="preserve">Cole, S. &amp; Murphy, H. (2017). </w:t>
      </w:r>
      <w:r w:rsidRPr="00F1690F">
        <w:rPr>
          <w:i/>
          <w:sz w:val="20"/>
          <w:szCs w:val="20"/>
        </w:rPr>
        <w:t>New Directions in Teacher Evaluation in Indiana: A White Paper.</w:t>
      </w:r>
    </w:p>
    <w:p w:rsidR="003B292C" w:rsidRPr="00F1690F" w:rsidRDefault="003B292C" w:rsidP="003B292C">
      <w:pPr>
        <w:pStyle w:val="Heading2"/>
        <w:spacing w:before="30"/>
        <w:rPr>
          <w:rFonts w:ascii="Times New Roman" w:hAnsi="Times New Roman" w:cs="Times New Roman"/>
          <w:color w:val="auto"/>
          <w:sz w:val="20"/>
          <w:szCs w:val="20"/>
        </w:rPr>
      </w:pPr>
      <w:r w:rsidRPr="00F1690F">
        <w:rPr>
          <w:rFonts w:ascii="Times New Roman" w:hAnsi="Times New Roman" w:cs="Times New Roman"/>
          <w:color w:val="auto"/>
          <w:sz w:val="20"/>
          <w:szCs w:val="20"/>
        </w:rPr>
        <w:t>Center on Education and Lifelong Learning: Indiana University.</w:t>
      </w:r>
    </w:p>
    <w:p w:rsidR="003B292C" w:rsidRPr="00F1690F" w:rsidRDefault="003B292C" w:rsidP="003B292C">
      <w:pPr>
        <w:spacing w:before="51" w:line="276" w:lineRule="auto"/>
        <w:ind w:right="921"/>
        <w:rPr>
          <w:sz w:val="20"/>
          <w:szCs w:val="20"/>
        </w:rPr>
      </w:pPr>
    </w:p>
    <w:p w:rsidR="003B292C" w:rsidRPr="00F1690F" w:rsidRDefault="003B292C" w:rsidP="003B292C">
      <w:pPr>
        <w:spacing w:before="51" w:line="276" w:lineRule="auto"/>
        <w:ind w:right="921"/>
        <w:rPr>
          <w:sz w:val="20"/>
          <w:szCs w:val="20"/>
        </w:rPr>
      </w:pPr>
      <w:r w:rsidRPr="00F1690F">
        <w:rPr>
          <w:sz w:val="20"/>
          <w:szCs w:val="20"/>
        </w:rPr>
        <w:t xml:space="preserve">Cole, S. &amp; Murphy, H. (2016). </w:t>
      </w:r>
      <w:r w:rsidRPr="00F1690F">
        <w:rPr>
          <w:i/>
          <w:sz w:val="20"/>
          <w:szCs w:val="20"/>
        </w:rPr>
        <w:t xml:space="preserve">An analysis of Indiana district evaluation plans. </w:t>
      </w:r>
      <w:r w:rsidRPr="00F1690F">
        <w:rPr>
          <w:sz w:val="20"/>
          <w:szCs w:val="20"/>
        </w:rPr>
        <w:t>Report submitted to the Indiana State Board of Education. Center on Education and Lifelong Learning: Indiana University.</w:t>
      </w:r>
    </w:p>
    <w:p w:rsidR="003B292C" w:rsidRPr="00F1690F" w:rsidRDefault="003B292C" w:rsidP="003B292C">
      <w:pPr>
        <w:spacing w:before="2"/>
        <w:rPr>
          <w:sz w:val="20"/>
          <w:szCs w:val="20"/>
        </w:rPr>
      </w:pPr>
      <w:r w:rsidRPr="00F1690F">
        <w:rPr>
          <w:sz w:val="20"/>
          <w:szCs w:val="20"/>
        </w:rPr>
        <w:t xml:space="preserve">Murphy, H., &amp; Cole, S. (2014). </w:t>
      </w:r>
      <w:r w:rsidRPr="00F1690F">
        <w:rPr>
          <w:i/>
          <w:sz w:val="20"/>
          <w:szCs w:val="20"/>
        </w:rPr>
        <w:t>Indiana Teacher Evaluation: At the Crossroads of Implementation.</w:t>
      </w:r>
      <w:r w:rsidRPr="00F1690F">
        <w:rPr>
          <w:sz w:val="20"/>
          <w:szCs w:val="20"/>
        </w:rPr>
        <w:t xml:space="preserve"> Bloomington, IN: Center on Education and Lifelong Learning.</w:t>
      </w:r>
    </w:p>
    <w:p w:rsidR="003B292C" w:rsidRPr="00F1690F" w:rsidRDefault="003B292C" w:rsidP="003B292C">
      <w:pPr>
        <w:spacing w:before="43" w:line="276" w:lineRule="auto"/>
        <w:ind w:right="921"/>
        <w:rPr>
          <w:sz w:val="20"/>
          <w:szCs w:val="20"/>
        </w:rPr>
      </w:pPr>
    </w:p>
    <w:p w:rsidR="003B292C" w:rsidRPr="00F1690F" w:rsidRDefault="003B292C" w:rsidP="003B292C">
      <w:pPr>
        <w:spacing w:before="43" w:line="276" w:lineRule="auto"/>
        <w:ind w:right="921"/>
        <w:rPr>
          <w:sz w:val="20"/>
          <w:szCs w:val="20"/>
        </w:rPr>
      </w:pPr>
      <w:r w:rsidRPr="00F1690F">
        <w:rPr>
          <w:sz w:val="20"/>
          <w:szCs w:val="20"/>
        </w:rPr>
        <w:t xml:space="preserve">Ansaldo, J., Cole, S., Murphy, H., &amp; Robinson, J. (2014). </w:t>
      </w:r>
      <w:r w:rsidRPr="00F1690F">
        <w:rPr>
          <w:i/>
          <w:sz w:val="20"/>
          <w:szCs w:val="20"/>
        </w:rPr>
        <w:t xml:space="preserve">INTASS Teacher Appraisal System: Evidence of Implementation Fidelity. </w:t>
      </w:r>
      <w:r w:rsidRPr="00F1690F">
        <w:rPr>
          <w:sz w:val="20"/>
          <w:szCs w:val="20"/>
        </w:rPr>
        <w:t>Bloomington, IN: Center on Education and Lifelong Learning.</w:t>
      </w:r>
    </w:p>
    <w:p w:rsidR="003B292C" w:rsidRPr="00F1690F" w:rsidRDefault="003B292C" w:rsidP="003B292C">
      <w:pPr>
        <w:spacing w:before="2" w:line="276" w:lineRule="auto"/>
        <w:ind w:right="1197"/>
        <w:rPr>
          <w:sz w:val="20"/>
          <w:szCs w:val="20"/>
        </w:rPr>
      </w:pPr>
      <w:r w:rsidRPr="00F1690F">
        <w:rPr>
          <w:sz w:val="20"/>
          <w:szCs w:val="20"/>
        </w:rPr>
        <w:t xml:space="preserve">Cole, C., Murphy, H., Rogan, P., and </w:t>
      </w:r>
      <w:proofErr w:type="spellStart"/>
      <w:r w:rsidRPr="00F1690F">
        <w:rPr>
          <w:sz w:val="20"/>
          <w:szCs w:val="20"/>
        </w:rPr>
        <w:t>Eckes</w:t>
      </w:r>
      <w:proofErr w:type="spellEnd"/>
      <w:r w:rsidRPr="00F1690F">
        <w:rPr>
          <w:sz w:val="20"/>
          <w:szCs w:val="20"/>
        </w:rPr>
        <w:t xml:space="preserve">, S. (2013). </w:t>
      </w:r>
      <w:r w:rsidRPr="00F1690F">
        <w:rPr>
          <w:i/>
          <w:sz w:val="20"/>
          <w:szCs w:val="20"/>
        </w:rPr>
        <w:t xml:space="preserve">Indiana’s Teacher Evaluation Legislation: Implications and Challenges for Policy, Higher Education and </w:t>
      </w:r>
      <w:r w:rsidRPr="00F1690F">
        <w:rPr>
          <w:i/>
          <w:spacing w:val="-2"/>
          <w:sz w:val="20"/>
          <w:szCs w:val="20"/>
        </w:rPr>
        <w:t xml:space="preserve">Professional </w:t>
      </w:r>
      <w:r w:rsidRPr="00F1690F">
        <w:rPr>
          <w:i/>
          <w:sz w:val="20"/>
          <w:szCs w:val="20"/>
        </w:rPr>
        <w:t xml:space="preserve">Development. </w:t>
      </w:r>
      <w:r w:rsidRPr="00F1690F">
        <w:rPr>
          <w:sz w:val="20"/>
          <w:szCs w:val="20"/>
        </w:rPr>
        <w:t>Bloomington, IN: Center for Evaluation and Education</w:t>
      </w:r>
      <w:r w:rsidRPr="00F1690F">
        <w:rPr>
          <w:spacing w:val="-4"/>
          <w:sz w:val="20"/>
          <w:szCs w:val="20"/>
        </w:rPr>
        <w:t xml:space="preserve"> </w:t>
      </w:r>
      <w:r w:rsidRPr="00F1690F">
        <w:rPr>
          <w:sz w:val="20"/>
          <w:szCs w:val="20"/>
        </w:rPr>
        <w:t>Policy.</w:t>
      </w:r>
    </w:p>
    <w:p w:rsidR="003B292C" w:rsidRPr="00F1690F" w:rsidRDefault="003B292C" w:rsidP="003B292C">
      <w:pPr>
        <w:spacing w:line="276" w:lineRule="auto"/>
        <w:ind w:right="879"/>
        <w:rPr>
          <w:sz w:val="20"/>
          <w:szCs w:val="20"/>
        </w:rPr>
      </w:pPr>
    </w:p>
    <w:p w:rsidR="003B292C" w:rsidRPr="00F1690F" w:rsidRDefault="003B292C" w:rsidP="003B292C">
      <w:pPr>
        <w:spacing w:line="276" w:lineRule="auto"/>
        <w:ind w:right="879"/>
        <w:rPr>
          <w:sz w:val="20"/>
          <w:szCs w:val="20"/>
        </w:rPr>
      </w:pPr>
      <w:r w:rsidRPr="00F1690F">
        <w:rPr>
          <w:sz w:val="20"/>
          <w:szCs w:val="20"/>
        </w:rPr>
        <w:t xml:space="preserve">Murphy, H.R., and Cole, S. (2013). </w:t>
      </w:r>
      <w:r w:rsidRPr="00F1690F">
        <w:rPr>
          <w:i/>
          <w:sz w:val="20"/>
          <w:szCs w:val="20"/>
        </w:rPr>
        <w:t xml:space="preserve">INTASS Teacher Appraisal Rubric. </w:t>
      </w:r>
      <w:r w:rsidRPr="00F1690F">
        <w:rPr>
          <w:sz w:val="20"/>
          <w:szCs w:val="20"/>
        </w:rPr>
        <w:t>Bloomington, IN: Center on Education and Lifelong Learning.</w:t>
      </w:r>
    </w:p>
    <w:p w:rsidR="003B292C" w:rsidRPr="00F1690F" w:rsidRDefault="003B292C" w:rsidP="003B292C">
      <w:pPr>
        <w:pStyle w:val="BodyText"/>
        <w:spacing w:before="6"/>
        <w:rPr>
          <w:rFonts w:ascii="Times New Roman" w:hAnsi="Times New Roman" w:cs="Times New Roman"/>
          <w:sz w:val="20"/>
          <w:szCs w:val="20"/>
        </w:rPr>
      </w:pPr>
    </w:p>
    <w:p w:rsidR="003B292C" w:rsidRPr="00F1690F" w:rsidRDefault="003B292C" w:rsidP="003B292C">
      <w:pPr>
        <w:pStyle w:val="Heading1"/>
        <w:ind w:left="0"/>
        <w:rPr>
          <w:rFonts w:ascii="Times New Roman" w:hAnsi="Times New Roman" w:cs="Times New Roman"/>
          <w:sz w:val="20"/>
          <w:szCs w:val="20"/>
        </w:rPr>
      </w:pPr>
      <w:r w:rsidRPr="00F1690F">
        <w:rPr>
          <w:rFonts w:ascii="Times New Roman" w:hAnsi="Times New Roman" w:cs="Times New Roman"/>
          <w:sz w:val="20"/>
          <w:szCs w:val="20"/>
        </w:rPr>
        <w:t>Accepted for Publication:</w:t>
      </w:r>
    </w:p>
    <w:p w:rsidR="003B292C" w:rsidRPr="00F1690F" w:rsidRDefault="003B292C" w:rsidP="003B292C">
      <w:pPr>
        <w:spacing w:before="43" w:line="276" w:lineRule="auto"/>
        <w:ind w:right="965"/>
        <w:rPr>
          <w:sz w:val="20"/>
          <w:szCs w:val="20"/>
        </w:rPr>
      </w:pPr>
      <w:r w:rsidRPr="00F1690F">
        <w:rPr>
          <w:sz w:val="20"/>
          <w:szCs w:val="20"/>
        </w:rPr>
        <w:t xml:space="preserve">Murphy, H.R., Cole S., and Frisby, M. (2019) </w:t>
      </w:r>
      <w:r w:rsidRPr="00F1690F">
        <w:rPr>
          <w:i/>
          <w:sz w:val="20"/>
          <w:szCs w:val="20"/>
        </w:rPr>
        <w:t xml:space="preserve">A Comparison of Mayoral Charter School and Traditional Public-School Student Academic Performance </w:t>
      </w:r>
      <w:r w:rsidRPr="00F1690F">
        <w:rPr>
          <w:sz w:val="20"/>
          <w:szCs w:val="20"/>
        </w:rPr>
        <w:t>(2019), presented at the American Association of Behavioral and Social Sciences conference in Las Vegas in February 2019. Submitted and accepted for publication in the Journal of Behavioral and Social Sciences (JBSS). Spring vol 8.2.</w:t>
      </w:r>
    </w:p>
    <w:p w:rsidR="003B292C" w:rsidRPr="00F1690F" w:rsidRDefault="003B292C" w:rsidP="003B292C">
      <w:pPr>
        <w:spacing w:before="43" w:line="276" w:lineRule="auto"/>
        <w:ind w:right="965"/>
        <w:rPr>
          <w:sz w:val="20"/>
          <w:szCs w:val="20"/>
        </w:rPr>
      </w:pPr>
    </w:p>
    <w:p w:rsidR="003B292C" w:rsidRPr="00F1690F" w:rsidRDefault="003B292C" w:rsidP="003B292C">
      <w:pPr>
        <w:pStyle w:val="Heading1"/>
        <w:ind w:left="0"/>
        <w:rPr>
          <w:rFonts w:ascii="Times New Roman" w:hAnsi="Times New Roman" w:cs="Times New Roman"/>
          <w:sz w:val="20"/>
          <w:szCs w:val="20"/>
        </w:rPr>
      </w:pPr>
      <w:r w:rsidRPr="00F1690F">
        <w:rPr>
          <w:rFonts w:ascii="Times New Roman" w:hAnsi="Times New Roman" w:cs="Times New Roman"/>
          <w:sz w:val="20"/>
          <w:szCs w:val="20"/>
        </w:rPr>
        <w:t>Submitted for Publication:</w:t>
      </w:r>
      <w:bookmarkStart w:id="0" w:name="_GoBack"/>
      <w:bookmarkEnd w:id="0"/>
    </w:p>
    <w:p w:rsidR="003B292C" w:rsidRPr="00F1690F" w:rsidRDefault="003B292C" w:rsidP="003B292C">
      <w:pPr>
        <w:pStyle w:val="Heading1"/>
        <w:ind w:left="0"/>
        <w:rPr>
          <w:rFonts w:ascii="Times New Roman" w:hAnsi="Times New Roman" w:cs="Times New Roman"/>
          <w:sz w:val="20"/>
          <w:szCs w:val="20"/>
        </w:rPr>
      </w:pPr>
    </w:p>
    <w:p w:rsidR="003B292C" w:rsidRPr="00F1690F" w:rsidRDefault="003B292C" w:rsidP="003B292C">
      <w:pPr>
        <w:pStyle w:val="Heading1"/>
        <w:ind w:left="0"/>
        <w:rPr>
          <w:rFonts w:ascii="Times New Roman" w:eastAsia="Times New Roman" w:hAnsi="Times New Roman" w:cs="Times New Roman"/>
          <w:b w:val="0"/>
          <w:sz w:val="20"/>
          <w:szCs w:val="20"/>
        </w:rPr>
      </w:pPr>
      <w:r w:rsidRPr="00F1690F">
        <w:rPr>
          <w:rFonts w:ascii="Times New Roman" w:hAnsi="Times New Roman" w:cs="Times New Roman"/>
          <w:b w:val="0"/>
          <w:sz w:val="20"/>
          <w:szCs w:val="20"/>
        </w:rPr>
        <w:t>Murphy, H.R., Cole, S., and Fischman, L., (2020)</w:t>
      </w:r>
      <w:r w:rsidRPr="00F1690F">
        <w:rPr>
          <w:rFonts w:ascii="Times New Roman" w:hAnsi="Times New Roman" w:cs="Times New Roman"/>
          <w:sz w:val="20"/>
          <w:szCs w:val="20"/>
        </w:rPr>
        <w:t xml:space="preserve"> </w:t>
      </w:r>
      <w:r w:rsidRPr="00F1690F">
        <w:rPr>
          <w:rFonts w:ascii="Times New Roman" w:eastAsia="Times New Roman" w:hAnsi="Times New Roman" w:cs="Times New Roman"/>
          <w:b w:val="0"/>
          <w:sz w:val="20"/>
          <w:szCs w:val="20"/>
        </w:rPr>
        <w:t>Using Implementation Science to Increase Teacher Capacity for Instructional Access for Students with Disabilities,</w:t>
      </w:r>
      <w:r w:rsidRPr="00F1690F">
        <w:rPr>
          <w:rFonts w:ascii="Times New Roman" w:eastAsia="Times New Roman" w:hAnsi="Times New Roman" w:cs="Times New Roman"/>
          <w:i/>
          <w:sz w:val="20"/>
          <w:szCs w:val="20"/>
        </w:rPr>
        <w:t xml:space="preserve"> </w:t>
      </w:r>
      <w:r w:rsidRPr="00F1690F">
        <w:rPr>
          <w:rFonts w:ascii="Times New Roman" w:eastAsia="Times New Roman" w:hAnsi="Times New Roman" w:cs="Times New Roman"/>
          <w:b w:val="0"/>
          <w:sz w:val="20"/>
          <w:szCs w:val="20"/>
        </w:rPr>
        <w:t>submitted to the Journal of Disability Policy Studies. (Invited article for a special issue of the Journal of Disability and Policy Studies on Implementation Science.)</w:t>
      </w:r>
    </w:p>
    <w:p w:rsidR="003B292C" w:rsidRPr="00F1690F" w:rsidRDefault="003B292C" w:rsidP="003B292C">
      <w:pPr>
        <w:pStyle w:val="Heading1"/>
        <w:ind w:left="0"/>
        <w:rPr>
          <w:rFonts w:ascii="Times New Roman" w:hAnsi="Times New Roman" w:cs="Times New Roman"/>
          <w:b w:val="0"/>
          <w:sz w:val="20"/>
          <w:szCs w:val="20"/>
        </w:rPr>
      </w:pPr>
    </w:p>
    <w:p w:rsidR="003B292C" w:rsidRPr="00F1690F" w:rsidRDefault="003B292C" w:rsidP="003B292C">
      <w:pPr>
        <w:pStyle w:val="Heading1"/>
        <w:ind w:left="0"/>
        <w:rPr>
          <w:rFonts w:ascii="Times New Roman" w:hAnsi="Times New Roman" w:cs="Times New Roman"/>
          <w:sz w:val="20"/>
          <w:szCs w:val="20"/>
        </w:rPr>
      </w:pPr>
      <w:r w:rsidRPr="00F1690F">
        <w:rPr>
          <w:rFonts w:ascii="Times New Roman" w:hAnsi="Times New Roman" w:cs="Times New Roman"/>
          <w:sz w:val="20"/>
          <w:szCs w:val="20"/>
        </w:rPr>
        <w:t>Presentations:</w:t>
      </w:r>
    </w:p>
    <w:p w:rsidR="003B292C" w:rsidRPr="00F1690F" w:rsidRDefault="003B292C" w:rsidP="003B292C">
      <w:pPr>
        <w:pStyle w:val="Heading1"/>
        <w:ind w:left="0"/>
        <w:rPr>
          <w:rFonts w:ascii="Times New Roman" w:hAnsi="Times New Roman" w:cs="Times New Roman"/>
          <w:b w:val="0"/>
          <w:sz w:val="20"/>
          <w:szCs w:val="20"/>
        </w:rPr>
      </w:pPr>
    </w:p>
    <w:p w:rsidR="003B292C" w:rsidRPr="00F1690F" w:rsidRDefault="003B292C" w:rsidP="003B292C">
      <w:pPr>
        <w:pStyle w:val="Heading1"/>
        <w:ind w:left="0"/>
        <w:rPr>
          <w:rFonts w:ascii="Times New Roman" w:hAnsi="Times New Roman" w:cs="Times New Roman"/>
          <w:b w:val="0"/>
          <w:sz w:val="20"/>
          <w:szCs w:val="20"/>
        </w:rPr>
      </w:pPr>
      <w:r w:rsidRPr="00F1690F">
        <w:rPr>
          <w:rFonts w:ascii="Times New Roman" w:hAnsi="Times New Roman" w:cs="Times New Roman"/>
          <w:b w:val="0"/>
          <w:sz w:val="20"/>
          <w:szCs w:val="20"/>
        </w:rPr>
        <w:t>Cole, C.M., and Murphy, H.R., (2020) The Relationship of Special Education Placement and Student Academic Outcomes. Presentation at the Council for Exceptional Children national conference, in Portland Oregon.</w:t>
      </w:r>
    </w:p>
    <w:p w:rsidR="003B292C" w:rsidRPr="00F1690F" w:rsidRDefault="003B292C" w:rsidP="003B292C">
      <w:pPr>
        <w:pStyle w:val="Heading1"/>
        <w:ind w:left="0"/>
        <w:rPr>
          <w:rFonts w:ascii="Times New Roman" w:eastAsia="Times New Roman" w:hAnsi="Times New Roman" w:cs="Times New Roman"/>
          <w:sz w:val="20"/>
          <w:szCs w:val="20"/>
        </w:rPr>
      </w:pPr>
    </w:p>
    <w:p w:rsidR="003B292C" w:rsidRPr="00F1690F" w:rsidRDefault="003B292C" w:rsidP="003B292C">
      <w:pPr>
        <w:pStyle w:val="Heading1"/>
        <w:ind w:left="0"/>
        <w:rPr>
          <w:rFonts w:ascii="Times New Roman" w:hAnsi="Times New Roman" w:cs="Times New Roman"/>
          <w:b w:val="0"/>
          <w:sz w:val="20"/>
          <w:szCs w:val="20"/>
        </w:rPr>
      </w:pPr>
      <w:r w:rsidRPr="00F1690F">
        <w:rPr>
          <w:rFonts w:ascii="Times New Roman" w:hAnsi="Times New Roman" w:cs="Times New Roman"/>
          <w:b w:val="0"/>
          <w:sz w:val="20"/>
          <w:szCs w:val="20"/>
          <w:shd w:val="clear" w:color="auto" w:fill="FFFFFF"/>
        </w:rPr>
        <w:t>Cole, C.M., and Murphy, H.R. (2020) Yes, But Do Included Students Do Better Academically? Indiana IEP Resource Center Focus on Inclusion Conference, Indianapolis, Indiana,</w:t>
      </w:r>
    </w:p>
    <w:p w:rsidR="003B292C" w:rsidRPr="00F1690F" w:rsidRDefault="003B292C" w:rsidP="003B292C">
      <w:pPr>
        <w:pStyle w:val="Heading1"/>
        <w:ind w:left="0"/>
        <w:rPr>
          <w:rFonts w:ascii="Times New Roman" w:hAnsi="Times New Roman" w:cs="Times New Roman"/>
          <w:b w:val="0"/>
          <w:sz w:val="20"/>
          <w:szCs w:val="20"/>
        </w:rPr>
      </w:pPr>
    </w:p>
    <w:p w:rsidR="003B292C" w:rsidRPr="00F1690F" w:rsidRDefault="003B292C" w:rsidP="003B292C">
      <w:pPr>
        <w:pStyle w:val="Heading1"/>
        <w:ind w:left="0"/>
        <w:rPr>
          <w:rFonts w:ascii="Times New Roman" w:hAnsi="Times New Roman" w:cs="Times New Roman"/>
          <w:sz w:val="20"/>
          <w:szCs w:val="20"/>
        </w:rPr>
      </w:pPr>
      <w:r w:rsidRPr="00F1690F">
        <w:rPr>
          <w:rFonts w:ascii="Times New Roman" w:hAnsi="Times New Roman" w:cs="Times New Roman"/>
          <w:sz w:val="20"/>
          <w:szCs w:val="20"/>
        </w:rPr>
        <w:t>Service:</w:t>
      </w:r>
    </w:p>
    <w:p w:rsidR="003B292C" w:rsidRPr="00F1690F" w:rsidRDefault="003B292C" w:rsidP="003B292C">
      <w:pPr>
        <w:spacing w:before="43" w:line="276" w:lineRule="auto"/>
        <w:ind w:right="965"/>
        <w:rPr>
          <w:sz w:val="20"/>
          <w:szCs w:val="20"/>
        </w:rPr>
      </w:pPr>
    </w:p>
    <w:p w:rsidR="003B292C" w:rsidRPr="00F1690F" w:rsidRDefault="003B292C" w:rsidP="003B292C">
      <w:pPr>
        <w:spacing w:before="43" w:line="276" w:lineRule="auto"/>
        <w:ind w:right="965"/>
        <w:rPr>
          <w:sz w:val="20"/>
          <w:szCs w:val="20"/>
        </w:rPr>
      </w:pPr>
      <w:r w:rsidRPr="00F1690F">
        <w:rPr>
          <w:sz w:val="20"/>
          <w:szCs w:val="20"/>
        </w:rPr>
        <w:t xml:space="preserve">Indiana Youth Institute yearly state of Indiana Youth </w:t>
      </w:r>
      <w:r w:rsidRPr="00F1690F">
        <w:rPr>
          <w:rFonts w:eastAsia="Times New Roman"/>
          <w:sz w:val="20"/>
          <w:szCs w:val="20"/>
        </w:rPr>
        <w:t>KIDS COUNT DATA BOOK</w:t>
      </w:r>
      <w:r w:rsidRPr="00F1690F">
        <w:rPr>
          <w:sz w:val="20"/>
          <w:szCs w:val="20"/>
        </w:rPr>
        <w:t xml:space="preserve"> committee. (2020)</w:t>
      </w:r>
    </w:p>
    <w:p w:rsidR="003B292C" w:rsidRPr="00F1690F" w:rsidRDefault="003B292C" w:rsidP="003B292C">
      <w:pPr>
        <w:spacing w:before="43" w:line="276" w:lineRule="auto"/>
        <w:ind w:right="965"/>
        <w:rPr>
          <w:sz w:val="20"/>
          <w:szCs w:val="20"/>
        </w:rPr>
      </w:pPr>
      <w:r w:rsidRPr="00F1690F">
        <w:rPr>
          <w:sz w:val="20"/>
          <w:szCs w:val="20"/>
        </w:rPr>
        <w:t>IUPUI School of Education Faculty Annual Review Committee. (2020)</w:t>
      </w:r>
    </w:p>
    <w:p w:rsidR="003B292C" w:rsidRPr="00F1690F" w:rsidRDefault="003B292C" w:rsidP="003B292C">
      <w:pPr>
        <w:spacing w:before="43" w:line="276" w:lineRule="auto"/>
        <w:ind w:right="965"/>
        <w:rPr>
          <w:sz w:val="20"/>
          <w:szCs w:val="20"/>
        </w:rPr>
      </w:pPr>
    </w:p>
    <w:p w:rsidR="003B292C" w:rsidRPr="00F1690F" w:rsidRDefault="003B292C" w:rsidP="003B292C">
      <w:pPr>
        <w:spacing w:before="43" w:line="276" w:lineRule="auto"/>
        <w:ind w:right="965"/>
        <w:rPr>
          <w:sz w:val="20"/>
          <w:szCs w:val="20"/>
        </w:rPr>
      </w:pPr>
      <w:r w:rsidRPr="00F1690F">
        <w:rPr>
          <w:sz w:val="20"/>
          <w:szCs w:val="20"/>
        </w:rPr>
        <w:t>Courses Taught:</w:t>
      </w:r>
    </w:p>
    <w:p w:rsidR="003B292C" w:rsidRPr="00F1690F" w:rsidRDefault="003B292C" w:rsidP="003B292C">
      <w:pPr>
        <w:spacing w:before="43" w:line="276" w:lineRule="auto"/>
        <w:ind w:right="965"/>
        <w:rPr>
          <w:sz w:val="20"/>
          <w:szCs w:val="20"/>
        </w:rPr>
      </w:pPr>
      <w:r w:rsidRPr="00F1690F">
        <w:rPr>
          <w:sz w:val="20"/>
          <w:szCs w:val="20"/>
        </w:rPr>
        <w:t>A515 Supervision and Teacher Development</w:t>
      </w:r>
    </w:p>
    <w:p w:rsidR="003B292C" w:rsidRPr="00F1690F" w:rsidRDefault="003B292C" w:rsidP="003B292C">
      <w:pPr>
        <w:spacing w:before="43" w:line="276" w:lineRule="auto"/>
        <w:ind w:right="965"/>
        <w:rPr>
          <w:sz w:val="20"/>
          <w:szCs w:val="20"/>
        </w:rPr>
      </w:pPr>
      <w:r w:rsidRPr="00F1690F">
        <w:rPr>
          <w:sz w:val="20"/>
          <w:szCs w:val="20"/>
        </w:rPr>
        <w:t>A735 Unified Systems of Delivery</w:t>
      </w:r>
    </w:p>
    <w:p w:rsidR="003B292C" w:rsidRPr="00F1690F" w:rsidRDefault="003B292C" w:rsidP="003B292C">
      <w:pPr>
        <w:spacing w:before="43" w:line="276" w:lineRule="auto"/>
        <w:ind w:right="965"/>
        <w:rPr>
          <w:sz w:val="20"/>
          <w:szCs w:val="20"/>
        </w:rPr>
      </w:pPr>
      <w:r w:rsidRPr="00F1690F">
        <w:rPr>
          <w:sz w:val="20"/>
          <w:szCs w:val="20"/>
        </w:rPr>
        <w:t>A500 Introduction to Educational Leadership</w:t>
      </w:r>
    </w:p>
    <w:p w:rsidR="003B292C" w:rsidRPr="00F1690F" w:rsidRDefault="003B292C" w:rsidP="003B292C">
      <w:pPr>
        <w:spacing w:before="43" w:line="276" w:lineRule="auto"/>
        <w:ind w:right="965"/>
        <w:rPr>
          <w:b/>
          <w:sz w:val="20"/>
          <w:szCs w:val="20"/>
        </w:rPr>
      </w:pPr>
    </w:p>
    <w:p w:rsidR="007C0DA4" w:rsidRPr="00F1690F" w:rsidRDefault="007C0DA4"/>
    <w:sectPr w:rsidR="007C0DA4" w:rsidRPr="00F16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2C"/>
    <w:rsid w:val="003B292C"/>
    <w:rsid w:val="007C0DA4"/>
    <w:rsid w:val="00F16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E4464"/>
  <w15:chartTrackingRefBased/>
  <w15:docId w15:val="{6DFCA6AB-CA84-46E7-8304-F2055A68E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292C"/>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3B292C"/>
    <w:pPr>
      <w:widowControl w:val="0"/>
      <w:autoSpaceDE w:val="0"/>
      <w:autoSpaceDN w:val="0"/>
      <w:ind w:left="117"/>
      <w:outlineLvl w:val="0"/>
    </w:pPr>
    <w:rPr>
      <w:rFonts w:ascii="Calibri" w:eastAsia="Calibri" w:hAnsi="Calibri" w:cs="Calibri"/>
      <w:b/>
      <w:bCs/>
    </w:rPr>
  </w:style>
  <w:style w:type="paragraph" w:styleId="Heading2">
    <w:name w:val="heading 2"/>
    <w:basedOn w:val="Normal"/>
    <w:next w:val="Normal"/>
    <w:link w:val="Heading2Char"/>
    <w:uiPriority w:val="9"/>
    <w:semiHidden/>
    <w:unhideWhenUsed/>
    <w:qFormat/>
    <w:rsid w:val="003B292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92C"/>
    <w:rPr>
      <w:rFonts w:ascii="Calibri" w:eastAsia="Calibri" w:hAnsi="Calibri" w:cs="Calibri"/>
      <w:b/>
      <w:bCs/>
      <w:sz w:val="24"/>
      <w:szCs w:val="24"/>
    </w:rPr>
  </w:style>
  <w:style w:type="character" w:customStyle="1" w:styleId="Heading2Char">
    <w:name w:val="Heading 2 Char"/>
    <w:basedOn w:val="DefaultParagraphFont"/>
    <w:link w:val="Heading2"/>
    <w:uiPriority w:val="9"/>
    <w:semiHidden/>
    <w:rsid w:val="003B292C"/>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B292C"/>
    <w:rPr>
      <w:color w:val="0563C1" w:themeColor="hyperlink"/>
      <w:u w:val="single"/>
    </w:rPr>
  </w:style>
  <w:style w:type="paragraph" w:styleId="BodyText">
    <w:name w:val="Body Text"/>
    <w:basedOn w:val="Normal"/>
    <w:link w:val="BodyTextChar"/>
    <w:uiPriority w:val="1"/>
    <w:semiHidden/>
    <w:unhideWhenUsed/>
    <w:qFormat/>
    <w:rsid w:val="003B292C"/>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semiHidden/>
    <w:rsid w:val="003B292C"/>
    <w:rPr>
      <w:rFonts w:ascii="Calibri" w:eastAsia="Calibri" w:hAnsi="Calibri" w:cs="Calibri"/>
    </w:rPr>
  </w:style>
  <w:style w:type="paragraph" w:customStyle="1" w:styleId="TableParagraph">
    <w:name w:val="Table Paragraph"/>
    <w:basedOn w:val="Normal"/>
    <w:uiPriority w:val="1"/>
    <w:qFormat/>
    <w:rsid w:val="003B292C"/>
    <w:pPr>
      <w:widowControl w:val="0"/>
      <w:autoSpaceDE w:val="0"/>
      <w:autoSpaceDN w:val="0"/>
      <w:spacing w:before="19"/>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177/00224669209250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Hardy</dc:creator>
  <cp:keywords/>
  <dc:description/>
  <cp:lastModifiedBy>Murphy, Hardy</cp:lastModifiedBy>
  <cp:revision>2</cp:revision>
  <dcterms:created xsi:type="dcterms:W3CDTF">2021-04-02T16:41:00Z</dcterms:created>
  <dcterms:modified xsi:type="dcterms:W3CDTF">2021-04-02T16:43:00Z</dcterms:modified>
</cp:coreProperties>
</file>